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municipal hotel occupancy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116,000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660,000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municipality that has a population of not more than 25,000, that contains a cultural heritage museum, and that is located in a county that borders the United Mexican States and the Gulf of Mexico</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351.101,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addition to other authorized uses, a municipality that has a population of not more than 25,000, that contains a cultural heritage museum, and that is located in a county that borders the United Mexican States and the Gulf of Mexico may use revenue from the municipal hotel occupancy tax for the promotion of tourism by the enhancement and upgrading of an existing sports facility or field as specified by Subsection (a)(7), provided that the requirements of Subsections (a)(7)(A) and (C)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