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86R14369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2198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a court order for possession of or access to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157.165, Family Code, is amended to read as follows:</w:t>
      </w:r>
    </w:p>
    <w:p w:rsidR="003F3435" w:rsidRDefault="0032493E">
      <w:pPr>
        <w:spacing w:line="480" w:lineRule="auto"/>
        <w:ind w:firstLine="720"/>
        <w:jc w:val="both"/>
      </w:pPr>
      <w:r>
        <w:t xml:space="preserve">Sec.</w:t>
      </w:r>
      <w:r xml:space="preserve">
        <w:t> </w:t>
      </w:r>
      <w:r>
        <w:t xml:space="preserve">157.165.</w:t>
      </w:r>
      <w:r xml:space="preserve">
        <w:t> </w:t>
      </w:r>
      <w:r xml:space="preserve">
        <w:t> </w:t>
      </w:r>
      <w:r>
        <w:t xml:space="preserve">PROBATION OF CONTEMPT ORDER.  </w:t>
      </w:r>
      <w:r>
        <w:rPr>
          <w:u w:val="single"/>
        </w:rPr>
        <w:t xml:space="preserve">(a)</w:t>
      </w:r>
      <w:r>
        <w:rPr>
          <w:u w:val="single"/>
        </w:rPr>
        <w:t xml:space="preserve"> </w:t>
      </w:r>
      <w:r>
        <w:rPr>
          <w:u w:val="single"/>
        </w:rPr>
        <w:t xml:space="preserve"> </w:t>
      </w:r>
      <w:r>
        <w:rPr>
          <w:u w:val="single"/>
        </w:rPr>
        <w:t xml:space="preserve">Except as provided by Subsection (b), the</w:t>
      </w:r>
      <w:r>
        <w:t xml:space="preserve"> [</w:t>
      </w:r>
      <w:r>
        <w:rPr>
          <w:strike/>
        </w:rPr>
        <w:t xml:space="preserve">The</w:t>
      </w:r>
      <w:r>
        <w:t xml:space="preserve">] court may place the respondent on community supervision and suspend commitment if the court finds that the respondent is in contempt of court for failure or refusal to obey an order rendered as provided in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not place the respondent on community supervision and suspend commitment if the court finds that the respondent: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contempt of court for the failure or refusal to obey an order for possession of or access to a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previously been found in contempt of court for the failure or refusal to obey an order for possession of or access to a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157.167, Family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(d) </w:t>
      </w:r>
      <w:r>
        <w:rPr>
          <w:u w:val="single"/>
        </w:rPr>
        <w:t xml:space="preserve">and (e)</w:t>
      </w:r>
      <w:r>
        <w:t xml:space="preserve">, for good cause shown, the court may waive the requirement that the respondent pay attorney's fees and costs if the court states the reasons supporting that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not waive the requirement that the respondent pay attorney's fees and costs if the court finds that the respondent has previously been found in contempt of court for the denial of court-ordered possession or access with respect to the same child or children.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157.168,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court </w:t>
      </w:r>
      <w:r>
        <w:rPr>
          <w:u w:val="single"/>
        </w:rPr>
        <w:t xml:space="preserve">shall</w:t>
      </w:r>
      <w:r>
        <w:t xml:space="preserve"> [</w:t>
      </w:r>
      <w:r>
        <w:rPr>
          <w:strike/>
        </w:rPr>
        <w:t xml:space="preserve">may</w:t>
      </w:r>
      <w:r>
        <w:t xml:space="preserve">] order additional periods of possession of or access to a child to compensate for the denial of court-ordered possession or access.  The additional periods of possession or access:</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Subsection (c),</w:t>
      </w:r>
      <w:r>
        <w:t xml:space="preserve"> must be of the same type and duration of the possession or access that was denied;</w:t>
      </w:r>
    </w:p>
    <w:p w:rsidR="003F3435" w:rsidRDefault="0032493E">
      <w:pPr>
        <w:spacing w:line="480" w:lineRule="auto"/>
        <w:ind w:firstLine="1440"/>
        <w:jc w:val="both"/>
      </w:pPr>
      <w:r>
        <w:t xml:space="preserve">(2)</w:t>
      </w:r>
      <w:r xml:space="preserve">
        <w:t> </w:t>
      </w:r>
      <w:r xml:space="preserve">
        <w:t> </w:t>
      </w:r>
      <w:r>
        <w:t xml:space="preserve">may include weekend, holiday, and summer possession or access; and</w:t>
      </w:r>
    </w:p>
    <w:p w:rsidR="003F3435" w:rsidRDefault="0032493E">
      <w:pPr>
        <w:spacing w:line="480" w:lineRule="auto"/>
        <w:ind w:firstLine="1440"/>
        <w:jc w:val="both"/>
      </w:pPr>
      <w:r>
        <w:t xml:space="preserve">(3)</w:t>
      </w:r>
      <w:r xml:space="preserve">
        <w:t> </w:t>
      </w:r>
      <w:r xml:space="preserve">
        <w:t> </w:t>
      </w:r>
      <w:r>
        <w:t xml:space="preserve">must occur on or before the second anniversary of the date the court finds that court-ordered possession or access has been denied.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the respondent has previously been found in contempt of court for the denial of court-ordered possession or access with respect to the same child or children, the court shall order that the person denied possession or access receive two additional periods of possession or access of the same type and duration for each period of possession or access that was denied.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