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86R11579 KSD-D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Fallon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2202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administration of the Jobs and Education for Texans (JET) Grant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134.004, Education Code, is amended by adding Subsection (c)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awarding grants under this chapter, the commission, to the extent feasible, shall distribute grants equally across geographic areas of this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134.007,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134.007.</w:t>
      </w:r>
      <w:r xml:space="preserve">
        <w:t> </w:t>
      </w:r>
      <w:r xml:space="preserve">
        <w:t> </w:t>
      </w:r>
      <w:r>
        <w:t xml:space="preserve">GRANTS AWARDED TO INDEPENDENT SCHOOL DISTRICT.  </w:t>
      </w:r>
      <w:r>
        <w:rPr>
          <w:u w:val="single"/>
        </w:rPr>
        <w:t xml:space="preserve">(a)</w:t>
      </w:r>
      <w:r>
        <w:t xml:space="preserve">  The commission may award a grant to an independent school district under this chapter if the district has entered into a partnership with a public junior college, public technical institute, or public state college for the purpose of: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promoting career and technical education to the district's students;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offering dual credit courses to the district's students.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Subsection (a), an independent school district located in a rural area of this state in which no public junior college, public technical institute, or public state college is located in close geographic proximity to the district may be awarded a grant under this chapter to provide career and technical education courses or programs to students in the district in partnership with a local manufacturing facility in the area.  The commission shall adopt rules for the administration of this subsection.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Chapter 134, Education Code, is amended by adding Section 134.009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134.009.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BIENNIAL REPORT.  (a) </w:t>
      </w:r>
      <w:r>
        <w:rPr>
          <w:u w:val="single"/>
        </w:rPr>
        <w:t xml:space="preserve"> </w:t>
      </w:r>
      <w:r>
        <w:rPr>
          <w:u w:val="single"/>
        </w:rPr>
        <w:t xml:space="preserve">Not later than November 1 of each even-numbered year, the commission shall prepare and submit to each standing legislative committee with primary jurisdiction over workforce development or higher education a report regarding the grant activities and grant recipients under this chapter, including the results and outcomes of grants awarded under this chapter.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report must: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identify high-demand occupations in this state and evaluate how grants awarded under this chapter have been used to support courses or programs that prepare students for employment in those occupations;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include the following data for the most recent two-year period for which the information is available, disaggregated by appropriate region as determined by the commission: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number of students receiving career and technical education funded by grants awarded under this chapter;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number of students attaining a certificate, a degree, or an industry certification or other workforce credential as a result of receiving career and technical education funded by grants awarded under this chapter;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number of students entering the workforce who received career and technical education funded by grants awarded under this chapter;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losses or gains in manufacturing jobs and the effect of those losses or gains on workforce education needs.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2202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