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Fallon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2019, read first time and referred to Committee on Higher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administration of the Jobs and Education for Texans (JET)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134.004, Education Code, is amended by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awarding grants under this chapter, the commission, to the extent feasible, shall distribute grants equally across geographic areas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134.007,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134.007.</w:t>
      </w:r>
      <w:r xml:space="preserve">
        <w:t> </w:t>
      </w:r>
      <w:r xml:space="preserve">
        <w:t> </w:t>
      </w:r>
      <w:r>
        <w:t xml:space="preserve">GRANTS AWARDED TO INDEPENDENT SCHOOL DISTRICT.  </w:t>
      </w: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The commission may award a grant to an independent school district under this chapter if the district has entered into a partnership with a public junior college, public technical institute, or public state college for the purpose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promoting career and technical education to the district's students;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offering dual credit courses to the district's students.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(a), an independent school district located in a rural area of this state in which no public junior college, public technical institute, or public state college is located in close geographic proximity to the district may be awarded a grant under this chapter to provide career and technical education courses or programs to students in the district in partnership with a local manufacturing facility in the area.  The commission shall adopt rules for the administration of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134, Education Code, is amended by adding Section 134.009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134.009.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BIENNIAL REPORT.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November 1 of each even-numbered year, the commission shall prepare and submit to each standing legislative committee with primary jurisdiction over workforce development or higher education a report regarding the grant activities and grant recipients under this chapter, including the results and outcomes of grants awarded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high-demand occupations in this state and evaluate how grants awarded under this chapter have been used to support courses or programs that prepare students for employment in those occupations;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 the following data for the most recent two-year period for which the information is available, disaggregated by appropriate region as determined by the commission: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receiving career and technical education funded by grants awarded under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attaining a certificate, a degree, or an industry certification or other workforce credential as a result of receiving career and technical education funded by grants awarded under this chapter;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students entering the workforce who received career and technical education funded by grants awarded under this chapter;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losses or gains in manufacturing jobs and the effect of those losses or gains on workforce education needs.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