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2208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hotel occupancy tax revenue by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352, Tax Code, is amended by adding Section 352.111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352.111.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REVENUE; COUNTIES BORDERING PORTION OF NECHES RIVER, SABINE RIVER, AND SABINE LAKE.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purposes authorized by this chapter, the revenue from a tax imposed under this chapter by a county authorized to impose the tax by Section 352.002(a)(28) may be used to construct and equip a pavilion that is primarily used for events attended by tourists and hotel guests and that has a substantial impact on hotel activity.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county to which this section applies uses revenue derived from the tax imposed under this chapter for a purpose described by Subsection (a), the county may not reduce the percentage of revenue from the tax imposed under this chapter and allocated for a purpose described by Section 351.101(a)(3) to a percentage that is less than the average percentage of that revenue allocated by the county for that purpose during the 36-month period preceding the date the county first uses hotel occupancy tax revenue for the purpose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