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86R14300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Nichols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2208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hotel occupancy tax revenue by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352.111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REVENUE; COUNTIES BORDERING PORTION OF NECHES RIVER, SABINE RIVER, AND SABINE LAKE.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In addition to the purposes authorized by this chapter, the revenue from a tax imposed under this chapter by a county authorized to impose the tax by Section 352.002(a)(28) may be used to construct and equip a pavilion that is primarily used for events attended by tourists and hotel guests and that has a substantial impact on hotel activity.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county to which this section applies uses revenue derived from the tax imposed under this chapter for a purpose described by Subsection (a), the county may not reduce the percentage of revenue from the tax imposed under this chapter and allocated for a purpose described by Section 351.101(a)(3) to a percentage that is less than the average percentage of that revenue allocated by the county for that purpose during the 36-month period preceding the date the county first uses hotel occupancy tax revenue for the purpose described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2208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