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2208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Natural Resources &amp; Economic Development;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10,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use of hotel occupancy tax revenue by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352, Tax Code, is amended by adding Section 352.111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352.111.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REVENUE; COUNTIES BORDERING PORTION OF NECHES RIVER, SABINE RIVER, AND SABINE LAKE.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purposes authorized by this chapter, the revenue from a tax imposed under this chapter by a county authorized to impose the tax by Section 352.002(a)(28) may be used to construct and equip a pavilion that is primarily used for events attended by tourists and hotel guests and that has a substantial impact on hotel activity.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county to which this section applies uses revenue derived from the tax imposed under this chapter for a purpose described by Subsection (a), the county may not reduce the percentage of revenue from the tax imposed under this chapter and allocated for a purpose described by Section 351.101(a)(3) to a percentage that is less than the average percentage of that revenue allocated by the county for that purpose during the 36-month period preceding the date the county first uses hotel occupancy tax revenue for the purpose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