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penalty for causing bodily injury while resisting arrest, search, or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38.03(d),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jail felony if the actor's use of force causes bodily injury to the peace officer or another person; and</w:t>
      </w:r>
    </w:p>
    <w:p w:rsidR="003F3435" w:rsidRDefault="0032493E">
      <w:pPr>
        <w:spacing w:line="480" w:lineRule="auto"/>
        <w:ind w:firstLine="1440"/>
        <w:jc w:val="both"/>
      </w:pPr>
      <w:r>
        <w:rPr>
          <w:u w:val="single"/>
        </w:rPr>
        <w:t xml:space="preserve">(2)</w:t>
      </w:r>
      <w:r xml:space="preserve">
        <w:t> </w:t>
      </w:r>
      <w:r xml:space="preserve">
        <w:t> </w:t>
      </w:r>
      <w:r>
        <w:t xml:space="preserve">a felony of the third degree if the actor uses a deadly weapon to resist the arrest or search.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