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2212</w:t>
      </w:r>
    </w:p>
    <w:p w:rsidR="003F3435" w:rsidRDefault="0032493E">
      <w:pPr>
        <w:ind w:firstLine="720"/>
        <w:jc w:val="both"/>
      </w:pPr>
      <w:r>
        <w:t xml:space="preserve">(Paul, Phelan, Deshotel)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