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2215</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1st Multicounty Court at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25.2702, Government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w:t>
      </w:r>
      <w:r>
        <w:t xml:space="preserve"> </w:t>
      </w:r>
      <w:r>
        <w:t xml:space="preserve">The judge may appoint a court administrator to aid the judge in the performance of the judge's duties. </w:t>
      </w:r>
      <w:r>
        <w:t xml:space="preserve"> </w:t>
      </w:r>
      <w:r>
        <w:t xml:space="preserve">The official court reporter and the court administrator of the county court at law are entitled to receive </w:t>
      </w:r>
      <w:r>
        <w:rPr>
          <w:u w:val="single"/>
        </w:rPr>
        <w:t xml:space="preserve">a salary set by the commissioners courts in the counties the reporter or administrator serves to be paid out of the county treasuries, either by salary or by contract as set by the commissioners courts</w:t>
      </w:r>
      <w:r>
        <w:t xml:space="preserve"> [</w:t>
      </w:r>
      <w:r>
        <w:rPr>
          <w:strike/>
        </w:rPr>
        <w:t xml:space="preserve">the same salary and to be paid in the same manner as the official court reporter and court administrator, respectively, of the district court in the administrative county for the court</w:t>
      </w:r>
      <w:r>
        <w:t xml:space="preserve">]. </w:t>
      </w:r>
      <w:r>
        <w:t xml:space="preserve"> </w:t>
      </w:r>
      <w:r>
        <w:t xml:space="preserve">The clerk of the court shall tax as costs, in each civil, criminal, and probate case in which a record of any part of the evidence in the case is made by the reporter, a stenographer's fee of $25. </w:t>
      </w:r>
      <w:r>
        <w:t xml:space="preserve"> </w:t>
      </w:r>
      <w:r>
        <w:t xml:space="preserve">The fee shall be paid in the same manner as other costs in the case. </w:t>
      </w:r>
      <w:r>
        <w:t xml:space="preserve"> </w:t>
      </w:r>
      <w:r>
        <w:t xml:space="preserve">The clerk collects the fee and pays it into the general funds of the counties.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Fisher, Mitchell, and Nolan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counties served by the county court at law are unable to reach an agreement under Subsection (d-1)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