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86R7253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to a county for the costs of confining a person arrested under an out-of-county warrant.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104.002(a),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article </w:t>
      </w:r>
      <w:r>
        <w:rPr>
          <w:u w:val="single"/>
        </w:rPr>
        <w:t xml:space="preserve">and Article 104.0025</w:t>
      </w:r>
      <w:r>
        <w:t xml:space="preserve">, a county is liable for all expenses incurred in the safekeeping of prisoners confined in the county jail or kept under guard by the county.  If a prisoner is transferred to a county from another county on a change of venue, for safekeeping, or for a habeas corpus hearing, the county transferring the prisoner is liable for the expenses described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104, Code of Criminal Procedure, is amended by adding Article 104.0025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104.0025.</w:t>
      </w:r>
      <w:r>
        <w:rPr>
          <w:u w:val="single"/>
        </w:rPr>
        <w:t xml:space="preserve"> </w:t>
      </w:r>
      <w:r>
        <w:rPr>
          <w:u w:val="single"/>
        </w:rPr>
        <w:t xml:space="preserve"> </w:t>
      </w:r>
      <w:r>
        <w:rPr>
          <w:u w:val="single"/>
        </w:rPr>
        <w:t xml:space="preserve">EXPENSES FOR CERTAIN PERSONS CONFINED FOR OUT-OF-COUNTY OFFENSE.  (a)  If a person is arrested under a warrant issued in a county other than the county of arrest and notice of the arrest and commitment has been provided under Article 15.19 to the sheriff of the county that issued the warrant, the county that issued the warrant is responsible for all expenses incurred by the county of arrest relating to the safekeeping in a county jail of the arrested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of arrest incurs expenses for the safekeeping of the arrested person, the sheriff shall submit to the county judge an account of expenses incurred by the county for the person.  The county judge shall approve the amount the county judge determines is a correct statement of the expenses and sign and date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judge shall submit to the commissioners court of the county that issued the warrant, at a regular term of the court, the county judge's signed statement of the account described by Subsection (b).  If the commissioners court determines that the account is in accordance with the law, it shall order the county treasurer to issue to the sheriff of the county submitting the statement a draft in an amount approved by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