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86R32905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2219</w:t>
      </w:r>
    </w:p>
    <w:p w:rsidR="003F3435" w:rsidRDefault="0032493E">
      <w:pPr>
        <w:ind w:firstLine="720"/>
        <w:jc w:val="both"/>
      </w:pPr>
      <w:r>
        <w:t xml:space="preserve">(Murphy)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2219:</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C.S.S.B.</w:t>
      </w:r>
      <w:r xml:space="preserve">
        <w:t> </w:t>
      </w:r>
      <w:r>
        <w:t xml:space="preserve">No.</w:t>
      </w:r>
      <w:r xml:space="preserve">
        <w:t> </w:t>
      </w:r>
      <w:r>
        <w:t xml:space="preserve">2219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required before the issuance of certain debt obligations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3.009, Election Code, is amended to read as follows:</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CONTENTS OF DEBT OBLIGATION ELECTION ORDER.  (a) </w:t>
      </w:r>
      <w:r>
        <w:t xml:space="preserve"> </w:t>
      </w:r>
      <w:r>
        <w:t xml:space="preserve">In this section, "debt obligation" means an issued public security, as defined by Section 1201.002, Government Code, that is secured by </w:t>
      </w:r>
      <w:r>
        <w:rPr>
          <w:u w:val="single"/>
        </w:rPr>
        <w:t xml:space="preserve">and payable from</w:t>
      </w:r>
      <w:r>
        <w:t xml:space="preserve"> ad valorem taxes.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w:t>
      </w:r>
      <w:r>
        <w:rPr>
          <w:strike/>
        </w:rPr>
        <w:t xml:space="preserve">annual</w:t>
      </w:r>
      <w:r>
        <w:t xml:space="preserv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w:t>
      </w:r>
      <w:r>
        <w:rPr>
          <w:u w:val="single"/>
        </w:rPr>
        <w:t xml:space="preserve">the maximum number of years authorized by law</w:t>
      </w:r>
      <w:r>
        <w:t xml:space="preserve"> [</w:t>
      </w:r>
      <w:r>
        <w:rPr>
          <w:strike/>
        </w:rPr>
        <w:t xml:space="preserve">40</w:t>
      </w:r>
      <w:r>
        <w:t xml:space="preserve">];</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w:t>
      </w:r>
      <w:r>
        <w:rPr>
          <w:u w:val="single"/>
        </w:rPr>
        <w:t xml:space="preserve">date</w:t>
      </w:r>
      <w:r>
        <w:t xml:space="preserve"> [</w:t>
      </w:r>
      <w:r>
        <w:rPr>
          <w:strike/>
        </w:rPr>
        <w:t xml:space="preserve">beginning of the political subdivision's fiscal year in which</w:t>
      </w:r>
      <w:r>
        <w:t xml:space="preserv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w:t>
      </w:r>
      <w:r>
        <w:rPr>
          <w:u w:val="single"/>
        </w:rPr>
        <w:t xml:space="preserve">date</w:t>
      </w:r>
      <w:r>
        <w:t xml:space="preserve"> [</w:t>
      </w:r>
      <w:r>
        <w:rPr>
          <w:strike/>
        </w:rPr>
        <w:t xml:space="preserve">beginning of the political subdivision's fiscal year in which</w:t>
      </w:r>
      <w:r>
        <w:t xml:space="preserve">] the election is ordered</w:t>
      </w:r>
      <w:r>
        <w:rPr>
          <w:u w:val="single"/>
        </w:rPr>
        <w:t xml:space="preserve">, which may be based on the political subdivision's expectations relative to variable rate debt obligations</w:t>
      </w:r>
      <w:r>
        <w:t xml:space="preserve">;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w:t>
      </w:r>
      <w:r>
        <w:rPr>
          <w:u w:val="single"/>
        </w:rPr>
        <w:t xml:space="preserve"> </w:t>
      </w:r>
      <w:r>
        <w:rPr>
          <w:u w:val="single"/>
        </w:rP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with at least 250 registered voters on the date the governing body of the political subdivision adopts the debt obligation election order must prepare a voter information document for each proposition to be voted on at the election. </w:t>
      </w:r>
      <w:r>
        <w:rPr>
          <w:u w:val="single"/>
        </w:rPr>
        <w:t xml:space="preserve"> </w:t>
      </w:r>
      <w:r>
        <w:rPr>
          <w:u w:val="single"/>
        </w:rPr>
        <w:t xml:space="preserve">The political subdivision shall post the voter information document in the same manner as a debt obligation election order is required to be posted under Section 4.003(f), Election Code, and may include the voter information document in the debt obligation election order. </w:t>
      </w:r>
      <w:r>
        <w:rPr>
          <w:u w:val="single"/>
        </w:rPr>
        <w:t xml:space="preserve"> </w:t>
      </w:r>
      <w:r>
        <w:rPr>
          <w:u w:val="single"/>
        </w:rPr>
        <w:t xml:space="preserve">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debt obligations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for the debt obligations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debt obligations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political subdivision adopts the debt obligation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political subdivision;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political subdivision shall identify in the voter information document the major assumptions made in connection with the statement required by Subsection (b)(3),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debt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provides the ballot proposition language for an election to authorize the issuance of debt obligations by a political subdivision. </w:t>
      </w:r>
      <w:r>
        <w:rPr>
          <w:u w:val="single"/>
        </w:rPr>
        <w:t xml:space="preserve"> </w:t>
      </w:r>
      <w:r>
        <w:rPr>
          <w:u w:val="single"/>
        </w:rPr>
        <w:t xml:space="preserve">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271.049, Local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w:t>
      </w:r>
      <w:r>
        <w:rPr>
          <w:u w:val="single"/>
        </w:rPr>
        <w:t xml:space="preserve">described</w:t>
      </w:r>
      <w:r>
        <w:t xml:space="preserve"> </w:t>
      </w:r>
      <w:r>
        <w:t xml:space="preserve">[</w:t>
      </w:r>
      <w:r>
        <w:rPr>
          <w:strike/>
        </w:rPr>
        <w:t xml:space="preserve">defined</w:t>
      </w:r>
      <w:r>
        <w:t xml:space="preserve">] by Subchapter C, Chapter 2051, Government Code, that is of general circulation in the area of the issuer, with the date of the first publication to be before the </w:t>
      </w:r>
      <w:r>
        <w:rPr>
          <w:u w:val="single"/>
        </w:rPr>
        <w:t xml:space="preserve">45th</w:t>
      </w:r>
      <w:r>
        <w:t xml:space="preserve"> [</w:t>
      </w:r>
      <w:r>
        <w:rPr>
          <w:strike/>
        </w:rPr>
        <w:t xml:space="preserve">30th</w:t>
      </w:r>
      <w:r>
        <w:t xml:space="preserve">]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issuer maintains an Internet website, continuously on the issuer's website for at least 45 days before the date tentatively set for the passage of the order or ordinance authorizing the issuance of the certificates</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maximum amount and</w:t>
      </w:r>
      <w:r>
        <w:t xml:space="preserve">] purpose of the certificates to be authorized;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then-current principal of all outstanding debt obligations of the issuer;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principal amount of the certificates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"debt obligation" means a public security, as defined by Section 1201.002, Government Code,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271.049, Local Government Code, apply only to a certificate of obligation for which the first notice of intention to issue the certificate is made on or after the effective date of this Act. </w:t>
      </w:r>
      <w:r>
        <w:t xml:space="preserve"> </w:t>
      </w:r>
      <w:r>
        <w:t xml:space="preserve">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