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86R6356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2219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 propositions authorizing political subdivisions to issue bonds or other debt or to impose or change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PROPOSITION FOR APPROVAL OF ISSUANCE OF BONDS OR OTHER DEBT.  (a) A proposition for approval of the issuance of bonds or other debt shall be submitted to the voters in an election held on the November uniform election date,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41.0011(a), an emergency election under Section 41.0011 at which a proposition described by Subsection (a) is submitted to the voters shall be held on any uniform election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law outside this code requires a proposition described by Subsection (a) to be submitted to the voters in an election held on a date other than the November uniform election date, the authority administering the election shall set the election date to comply with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52.072,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In addition to any other requirement imposed by law for a proposition, including a provision prescribing the proposition language, a proposition </w:t>
      </w:r>
      <w:r>
        <w:rPr>
          <w:u w:val="single"/>
        </w:rPr>
        <w:t xml:space="preserve">in an election of a political subdivision, including a city, county, school district, or special taxing district,</w:t>
      </w:r>
      <w:r>
        <w:t xml:space="preserve"> </w:t>
      </w:r>
      <w:r>
        <w:t xml:space="preserve">submitted to the voters for approval of [</w:t>
      </w:r>
      <w:r>
        <w:rPr>
          <w:strike/>
        </w:rPr>
        <w:t xml:space="preserve">the issuance of bonds or</w:t>
      </w:r>
      <w:r>
        <w:t xml:space="preserve">] the imposition, increase, or reduction of a tax shall specifically state, as applicable: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with respect to a proposition seeking voter approval of the issuance of bonds: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total principal amount of the bonds to be authorized, if approved;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general description of the purposes for which the bonds are to be authorized, if approved;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with respect to a proposition that only seeks voter approval of the imposition or increase of a tax</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amount of or maximum tax rate of the tax or tax increase for which approval is sought;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additional tax burden that would be imposed on a homestead with a value equal to the median homestead value in the political subdivision, as computed by the appraisal district, after the imposition or increase of the tax, if approved;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detailed description of the purposes for which the tax is to be imposed or increased, if approved;</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with respect to a proposition that only seeks voter approval of the reduction of a tax</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the amount of tax rate reduction or the tax rate for which approval is sought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estimated tax reduction for a homestead with a value equal to the median homestead value in the political subdivision, as computed by the appraisal district, if the reduction of the tax is approved</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proposition to which Subsection (e) applies or for approval of the issuance of bonds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characters;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different limit prescribed by the secretary of state that ensures that the length of the proposition does not exceed one page of the ballot or one screen on an electronic voting machine.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1251, Government Code, is amended by designating Sections 1251.001, 1251.002,</w:t>
      </w:r>
      <w:r>
        <w:t xml:space="preserve"> </w:t>
      </w:r>
      <w:r>
        <w:t xml:space="preserve">1251.003, 1251.004, 1251.005, and 1251.006 as Subchapter A and adding a subchapter heading to read as follows:</w:t>
      </w:r>
    </w:p>
    <w:p w:rsidR="003F3435" w:rsidRDefault="0032493E">
      <w:pPr>
        <w:spacing w:line="480" w:lineRule="auto"/>
        <w:jc w:val="center"/>
      </w:pPr>
      <w:r>
        <w:rPr>
          <w:u w:val="single"/>
        </w:rPr>
        <w:t xml:space="preserve">SUBCHAPTER A.  PROVISIONS RELATING GENERALLY TO BOND ELECTIONS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1251, Government Code, is amended by adding Subchapter B to read as follows:</w:t>
      </w:r>
    </w:p>
    <w:p w:rsidR="003F3435" w:rsidRDefault="0032493E">
      <w:pPr>
        <w:spacing w:line="480" w:lineRule="auto"/>
        <w:jc w:val="center"/>
      </w:pPr>
      <w:r>
        <w:rPr>
          <w:u w:val="single"/>
        </w:rPr>
        <w:t xml:space="preserve">SUBCHAPTER B.  BALLOT PROPOSITION FOR BONDS ISSUED BY POLITICAL SUBDIVISION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1251.051.</w:t>
      </w:r>
      <w:r>
        <w:rPr>
          <w:u w:val="single"/>
        </w:rPr>
        <w:t xml:space="preserve"> </w:t>
      </w:r>
      <w:r>
        <w:rPr>
          <w:u w:val="single"/>
        </w:rPr>
        <w:t xml:space="preserve"> </w:t>
      </w:r>
      <w:r>
        <w:rPr>
          <w:u w:val="single"/>
        </w:rPr>
        <w:t xml:space="preserve">APPLICABILITY.  This subchapter applies to bonds issued by any political subdivision, including a municipality, county, school district, or special taxing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1251.052.</w:t>
      </w:r>
      <w:r>
        <w:rPr>
          <w:u w:val="single"/>
        </w:rPr>
        <w:t xml:space="preserve"> </w:t>
      </w:r>
      <w:r>
        <w:rPr>
          <w:u w:val="single"/>
        </w:rPr>
        <w:t xml:space="preserve"> </w:t>
      </w:r>
      <w:r>
        <w:rPr>
          <w:u w:val="single"/>
        </w:rPr>
        <w:t xml:space="preserve">FORM.  A proposition seeking voter approval of the issuance of bonds shall specifically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description of the purposes for which the bonds are to be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principal amount of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amount of the political subdivision's debt secured by ad valorem taxes currently outstanding;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of the political subdivision's current payments on debt secured by ad valorem taxes;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taxes required to be imposed on a homestead with a value equal to the median homestead value in the political subdivision, as computed by the appraisal district, to repay the political subdivision's current debt obligations secured by ad valorem taxes;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estimated tax burden that would be imposed on a homestead with a value equal to the median homestead value in the political subdivision, as computed by the appraisal district, to repay the bonds to be authorized, if approved.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election ordered on or after the effective date of this Act.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