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2019S0396-1  03/08/19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2220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fees collected by the Automobile Burglary and Theft Prevention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 Article 4413(37), Revised Statutes,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amount equal to at least one-third of the fees collected under Subsection (b) in each biennium shall be appropriated to the authority for the purposes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10(f), Article 4413(37), Revised Statutes, as added by this Act, applies only to a fee collected on or after the effective date of this Act.  A fee collected before the effective date of this Act is governed by the law in effect on the date the fee was collected,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