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2223</w:t>
      </w:r>
    </w:p>
    <w:p w:rsidR="003F3435" w:rsidRDefault="0032493E">
      <w:pPr>
        <w:ind w:firstLine="720"/>
        <w:jc w:val="both"/>
      </w:pPr>
      <w:r>
        <w:t xml:space="preserve">(Canales, Cain)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efficient provision of pilot services by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66.016,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a rule under this chapter involving ship movement strategies, including navigation safety guidelines, for use by pilots in the navigable water in this state only on a recommendation from not less than 80 percent of the pilots authorized to operate under the board's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w:t>
      </w:r>
      <w:r>
        <w:rPr>
          <w:u w:val="single"/>
        </w:rPr>
        <w:t xml:space="preserve">, including minimizing the interference of two-way routes</w:t>
      </w:r>
      <w:r>
        <w:t xml:space="preserve">;</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 66.0171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66.0171.</w:t>
      </w:r>
      <w:r>
        <w:rPr>
          <w:u w:val="single"/>
        </w:rPr>
        <w:t xml:space="preserve"> </w:t>
      </w:r>
      <w:r>
        <w:rPr>
          <w:u w:val="single"/>
        </w:rPr>
        <w:t xml:space="preserve"> </w:t>
      </w:r>
      <w:r>
        <w:rPr>
          <w:u w:val="single"/>
        </w:rPr>
        <w:t xml:space="preserve">ONE-WAY TRAFFIC.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"One-way traffic" means a limitation on any part of the area where Galveston Bay reaches the Houston Ship Channel, including the channel immediately north of Morgan's Point, where the meeting, turnaround, and overtaking of any ships are prohibited.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authority"</w:t>
      </w:r>
      <w:r>
        <w:rPr>
          <w:u w:val="single"/>
        </w:rPr>
        <w:t xml:space="preserve"> </w:t>
      </w:r>
      <w:r>
        <w:rPr>
          <w:u w:val="single"/>
        </w:rPr>
        <w:t xml:space="preserve">means the Port of Houston Authority of Harris County,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66.016(c), the board by rule shall adopt navigation guidelines for the transit of vessels under the board's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66.016(c) and except as provided by Subsection (d), rules adopted under Subsection (b) may not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one vessel per week for which one-way traffic has been imposed to call on a port authority terminal at Bayport or Barbours Cut;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vessel for which one-way traffic has been imposed to call on or depart from a port authority terminal at Bayport or Barbours Cut on the same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passage of a vessel calling on a port authority terminal at Bayport or Barbours Cut that is not capable of turning around within the turning basin that serves the port authority terminal on which the vessel calls.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Subsection (c) do not apply to one-way traffic: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governed by an authorization issued by the United States Coast Guard, a dredging vessel, or a vessel operated by military forces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occurs between Morgan's Point and the Houston Turning Basin.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of the port authority is authorized to take any action necessary, including the execution and delivery of documents, to carry out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66, Transportation Code, is amended by adding Section 66.0172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66.0172.</w:t>
      </w:r>
      <w:r>
        <w:rPr>
          <w:u w:val="single"/>
        </w:rPr>
        <w:t xml:space="preserve"> </w:t>
      </w:r>
      <w:r>
        <w:rPr>
          <w:u w:val="single"/>
        </w:rPr>
        <w:t xml:space="preserve"> </w:t>
      </w:r>
      <w:r>
        <w:rPr>
          <w:u w:val="single"/>
        </w:rPr>
        <w:t xml:space="preserve">EFFICIENT PILOT SERVICE; MAXIMUM VESSEL LENGTH.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"Two-way route"</w:t>
      </w:r>
      <w:r>
        <w:rPr>
          <w:u w:val="single"/>
        </w:rPr>
        <w:t xml:space="preserve"> </w:t>
      </w:r>
      <w:r>
        <w:rPr>
          <w:u w:val="single"/>
        </w:rPr>
        <w:t xml:space="preserve">means a directional route within defined limits inside which two-way traffic is established, and which is intended to improve safety in waters where navigation is difficult.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"Two-way traffic"</w:t>
      </w:r>
      <w:r>
        <w:rPr>
          <w:u w:val="single"/>
        </w:rPr>
        <w:t xml:space="preserve"> </w:t>
      </w:r>
      <w:r>
        <w:rPr>
          <w:u w:val="single"/>
        </w:rPr>
        <w:t xml:space="preserve">means that traffic flow by all vessels is permitted in opposing directions.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order to ensure safe and efficient pilot services, the maximum overall length of a vessel, including the bulbous bow, that may be piloted within the board's jurisdiction is 1,100 feet.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66.016(c), the board by rule may authorize piloting a vessel with an overall length that exceeds the maximum overall length provided by Subsection (b) if the board determines that the proposed rules would allow two-way routes to be maintained efficiently and two-way traffic to be conducted efficiently.  Before adopting a rule under this subsection, the board must hold at least two public hearings. </w:t>
      </w:r>
      <w:r>
        <w:rPr>
          <w:u w:val="single"/>
        </w:rPr>
        <w:t xml:space="preserve"> </w:t>
      </w:r>
      <w:r>
        <w:rPr>
          <w:u w:val="single"/>
        </w:rPr>
        <w:t xml:space="preserve">This subsection does not apply to the adoption of rules governing vessel traffic between Morgan's Point and the Houston Turning Basin.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 3, and 5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