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2224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a public retirement system to adopt a written funding policy.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802, Government Code, is amended by adding Section 802.2011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802.2011.</w:t>
      </w:r>
      <w:r>
        <w:rPr>
          <w:u w:val="single"/>
        </w:rPr>
        <w:t xml:space="preserve"> </w:t>
      </w:r>
      <w:r>
        <w:rPr>
          <w:u w:val="single"/>
        </w:rPr>
        <w:t xml:space="preserve"> </w:t>
      </w:r>
      <w:r>
        <w:rPr>
          <w:u w:val="single"/>
        </w:rPr>
        <w:t xml:space="preserve">FUNDING POLICY.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"Funded ratio" means the ratio of a public retirement system's actuarial value of assets divided by the system's actuarial accrued liability.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 entity" has the meaning assigned by Section 802.1012.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public retirement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 written funding policy that details the governing body's plan for achieving a funded ratio of the system that is equal to or greater than 100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for public review at its main office a copy of the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file a copy of the policy and each change to the policy with the board not later than the 31st day after the date the policy or change, as applicable, is adopted;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submit a copy of the policy and each change to the policy to the system's associated governmental entity not later than the 31st day after the date the policy or change is adopted.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each public retirement system shall adopt a funding policy as required by Section 802.2011,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