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2224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2019; March</w:t>
      </w:r>
      <w:r xml:space="preserve">
        <w:t> </w:t>
      </w:r>
      <w:r>
        <w:t xml:space="preserve">21,</w:t>
      </w:r>
      <w:r xml:space="preserve">
        <w:t> </w:t>
      </w:r>
      <w:r>
        <w:t xml:space="preserve">2019, read first time and referred to Committee on State Affairs; March</w:t>
      </w:r>
      <w:r xml:space="preserve">
        <w:t> </w:t>
      </w:r>
      <w:r>
        <w:t xml:space="preserve">27,</w:t>
      </w:r>
      <w:r xml:space="preserve">
        <w:t> </w:t>
      </w:r>
      <w:r>
        <w:t xml:space="preserve">2019, reported favorably by the following vote:</w:t>
      </w:r>
      <w:r>
        <w:t xml:space="preserve"> </w:t>
      </w:r>
      <w:r>
        <w:t xml:space="preserve"> </w:t>
      </w:r>
      <w:r>
        <w:t xml:space="preserve">Yeas</w:t>
      </w:r>
      <w:r xml:space="preserve">
        <w:t> </w:t>
      </w:r>
      <w:r>
        <w:t xml:space="preserve">9, Nays</w:t>
      </w:r>
      <w:r xml:space="preserve">
        <w:t> </w:t>
      </w:r>
      <w:r>
        <w:t xml:space="preserve">0; March</w:t>
      </w:r>
      <w:r xml:space="preserve">
        <w:t> </w:t>
      </w:r>
      <w:r>
        <w:t xml:space="preserve">27,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requiring a public retirement system to adopt a written funding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802, Government Code, is amended by adding Section 802.2011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802.2011.</w:t>
      </w:r>
      <w:r>
        <w:rPr>
          <w:u w:val="single"/>
        </w:rPr>
        <w:t xml:space="preserve"> </w:t>
      </w:r>
      <w:r>
        <w:rPr>
          <w:u w:val="single"/>
        </w:rPr>
        <w:t xml:space="preserve"> </w:t>
      </w:r>
      <w:r>
        <w:rPr>
          <w:u w:val="single"/>
        </w:rPr>
        <w:t xml:space="preserve">FUNDING POLICY.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"Funded ratio" means the ratio of a public retirement system's actuarial value of assets divided by the system's actuarial accrued liability.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has the meaning assigned by Section 802.1012.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public retirement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 written funding policy that details the governing body's plan for achieving a funded ratio of the system that is equal to or greater than 100 percent;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for public review at its main office a copy of the policy;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file a copy of the policy and each change to the policy with the board not later than the 31st day after the date the policy or change, as applicable, is adopted;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submit a copy of the policy and each change to the policy to the system's associated governmental entity not later than the 31st day after the date the policy or change is adopted.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2020, each public retirement system shall adopt a funding policy as required by Section 802.2011,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