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2224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State Affairs; March</w:t>
      </w:r>
      <w:r xml:space="preserve">
        <w:t> </w:t>
      </w:r>
      <w:r>
        <w:t xml:space="preserve">27,</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a public retirement system to adopt a written funding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802, Government Code, is amended by adding Section 802.2011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802.2011.</w:t>
      </w:r>
      <w:r>
        <w:rPr>
          <w:u w:val="single"/>
        </w:rPr>
        <w:t xml:space="preserve"> </w:t>
      </w:r>
      <w:r>
        <w:rPr>
          <w:u w:val="single"/>
        </w:rPr>
        <w:t xml:space="preserve"> </w:t>
      </w:r>
      <w:r>
        <w:rPr>
          <w:u w:val="single"/>
        </w:rPr>
        <w:t xml:space="preserve">FUNDING POLICY.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802.1012.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public retirement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funding policy that details the governing body's plan for achieving a funded ratio of the system that is equal to or greater than 100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for public review at its main office a copy of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a copy of the policy and each change to the policy to the system's associated governmental entity not later than the 31st day after the date the policy or change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public retirement system shall adopt a funding policy as required by Section 802.2011,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