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elderly persons and persons with a disability who are survivors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420.031, Government Code, is amended by adding subsection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sexual assault examiner and sexual assault nurse examiner as defined in Section 420.003 of this chapter may provide upon request medical care to and collect forensic evidence for survivors of sexual assault who are incapacitated 14 years of age or older, regardless of whether or not the legal guardian of a survivor as defined by Chapter 1002, Estates Code consents.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sexual assault examiner and sexual assault nurse examiner defined in Section 420.003 of this chapter may provide upon request medical care to and collect forensic evidence for survivors of sexual assault who are wards, as that term is defined by Chapter 1002, Estates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communication, a record, or evidence that is confidential under this subchapter may not be disclosed to a parent or legal guardian of a survivor [</w:t>
      </w:r>
      <w:r>
        <w:rPr>
          <w:strike/>
        </w:rPr>
        <w:t xml:space="preserve">who is a minor</w:t>
      </w:r>
      <w:r>
        <w:t xml:space="preserve">] if an advocate or a sexual assault program knows or has reason to believe that the parent or legal guardian of the survivor is a suspect </w:t>
      </w:r>
      <w:r>
        <w:rPr>
          <w:u w:val="single"/>
        </w:rPr>
        <w:t xml:space="preserve">or accomplice</w:t>
      </w:r>
      <w:r>
        <w:t xml:space="preserve"> in the sexual assault of the survivor.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420.073,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Consent for the release of confidential information other than evidence contained in an evidence collection kit must be in writing and signed by the survivor, a parent or legal guardian if the survivor is a minor, [</w:t>
      </w:r>
      <w:r>
        <w:rPr>
          <w:strike/>
        </w:rPr>
        <w:t xml:space="preserve">a legal guardian if the survivor has been adjudicated incompetent to manage the survivor's personal affairs,</w:t>
      </w:r>
      <w:r>
        <w:t xml:space="preserve">] an attorney ad litem appointed for the survivor, or a personal representative if the survivor is deceased.</w:t>
      </w:r>
      <w:r xml:space="preserve">
        <w:t> </w:t>
      </w:r>
      <w:r xml:space="preserve">
        <w:t> </w:t>
      </w:r>
      <w:r>
        <w:t xml:space="preserve">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written consent signed by a survivor who is an incapacitated person 14 years of age or older, as that term is defined by Chapter 1002, Estates Code, is effective regardless of whether the incapacitated person's guardian, guardian ad litem, or other legal agent signs the release.</w:t>
      </w:r>
      <w:r>
        <w:rPr>
          <w:u w:val="single"/>
        </w:rPr>
        <w:t xml:space="preserve"> </w:t>
      </w:r>
      <w:r>
        <w:rPr>
          <w:u w:val="single"/>
        </w:rPr>
        <w:t xml:space="preserve"> </w:t>
      </w:r>
      <w:r>
        <w:rPr>
          <w:u w:val="single"/>
        </w:rPr>
        <w:t xml:space="preserve">If the incapacitated person is unable to provide a signature and the guardian, guardian ad litem, or other legal agent is unavailable or declines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(a)(1), a written consent signed by an incapacitated person, as that term is defined by Chapter 1002, Estates Code, is effective regardless of whether the incapacitated person's guardian, guardian ad litem, or other legal agent signs the release.</w:t>
      </w:r>
      <w:r xml:space="preserve">
        <w:t> </w:t>
      </w:r>
      <w:r xml:space="preserve">
        <w:t> </w:t>
      </w:r>
      <w:r>
        <w:t xml:space="preserve">If the incapacitated person is unable to provide a signature and the guardian, guardian ad litem, or other legal agent is unavailable </w:t>
      </w:r>
      <w:r>
        <w:rPr>
          <w:u w:val="single"/>
        </w:rPr>
        <w:t xml:space="preserve">or declines</w:t>
      </w:r>
      <w:r>
        <w:t xml:space="preserve">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