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86R5399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salvage vehicle dealer,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10 years old and is purchased solely for parts, dismantling, or scrap;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or dealer does not dismantle, crush, or shred the vehicle before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(l), the recycler or dealer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salvage vehicle dealer,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 or 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 to the extent practicable;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is not subject to any security interest or lien;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certifying that the vehicle: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not be titled again;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will be dismantled or destroyed;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or dealer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salvage vehicle dealer, or used automotive parts recycler who purchases a motor vehicle under this section shall submit to the department information necessary to satisfy any applicable requirement for reporting information to the National Motor Vehicle Title Information System in accordance with rules adopted under 28 C.F.R. Section 25.56 not later than 48 hours, not counting weekends or official state holidays, after the close of business on the day the vehicle was received. The department shall report information received under this subsection to the National Motor Vehicle Title Information System on behalf of the recycler or dealer.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24 hours after receiving information from a recycler or dealer under Subsection (c) about a motor vehicle, the department shall notify the recycler or dealer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or dealer under Subsection (d) that a motor vehicle has been reported stolen, the recycler or dealer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cancel the title of a motor vehicle purchased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department has not received information from a federal, state, or local department or independent source that a motor vehicle purchased under this section has been reported stolen before the time the department is required to notify a recycler or dealer of whether the vehicle has been reported stolen under Subsection (d), the department shall continue to check with the National Crime Information Center for a period of 30 days. If the vehicle is not reported stolen, any person damaged by the purchase may not bring a cause of action against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salvage vehicle dealer,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satisfy its responsibilities under this section through a contract with a United States Department of Justice approved third-party data consolidator, pursuant to 28 C.F.R. Part 25.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metal recycler, salvage vehicle dealer, or used automotive parts recycler may purchase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 and is no longer the vehicle described by the certificate of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submit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