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86R8383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2245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enforcement of traffic regulations on a public road that is owned, operated, and maintained by a special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791.036, Government Code, is amended to read as follows:</w:t>
      </w:r>
    </w:p>
    <w:p w:rsidR="003F3435" w:rsidRDefault="0032493E">
      <w:pPr>
        <w:spacing w:line="480" w:lineRule="auto"/>
        <w:ind w:firstLine="720"/>
        <w:jc w:val="both"/>
      </w:pPr>
      <w:r>
        <w:t xml:space="preserve">Sec.</w:t>
      </w:r>
      <w:r xml:space="preserve">
        <w:t> </w:t>
      </w:r>
      <w:r>
        <w:t xml:space="preserve">791.036.</w:t>
      </w:r>
      <w:r xml:space="preserve">
        <w:t> </w:t>
      </w:r>
      <w:r xml:space="preserve">
        <w:t> </w:t>
      </w:r>
      <w:r>
        <w:t xml:space="preserve">REGULATION OF TRAFFIC IN SPECIAL DISTRICTS.  The commissioners court of a county may enter into an interlocal contract with the board of a special district </w:t>
      </w:r>
      <w:r>
        <w:rPr>
          <w:u w:val="single"/>
        </w:rPr>
        <w:t xml:space="preserve">for the county</w:t>
      </w:r>
      <w:r>
        <w:t xml:space="preserve">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apply the county's traffic regulations to a public road in the county that is owned, operated, and maintained by the district if the commissioners court finds that it is in the county's interest to regulate traffic on the public road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enforce the regulations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251.151(b), Transportation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Under the terms of an interlocal contract under </w:t>
      </w:r>
      <w:r>
        <w:rPr>
          <w:u w:val="single"/>
        </w:rPr>
        <w:t xml:space="preserve"> </w:t>
      </w:r>
      <w:r>
        <w:rPr>
          <w:u w:val="single"/>
        </w:rPr>
        <w:t xml:space="preserve">Section 791.036, Government Code, the</w:t>
      </w:r>
      <w:r>
        <w:t xml:space="preserve"> </w:t>
      </w:r>
      <w:r>
        <w:t xml:space="preserve">[</w:t>
      </w:r>
      <w:r>
        <w:rPr>
          <w:strike/>
        </w:rPr>
        <w:t xml:space="preserve">The</w:t>
      </w:r>
      <w:r>
        <w:t xml:space="preserve">] commissioners court of a county may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by order apply the county's traffic regulations to a public road in the county that is owned, operated, and maintained by a special district and located wholly or partly in the county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the enforcement of the regulations</w:t>
      </w:r>
      <w:r>
        <w:t xml:space="preserve"> </w:t>
      </w:r>
      <w:r>
        <w:t xml:space="preserve">[</w:t>
      </w:r>
      <w:r>
        <w:rPr>
          <w:strike/>
        </w:rPr>
        <w:t xml:space="preserve">if the commissioners court and the board of the district have entered into an interlocal contract under Section 791.036, Government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