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2248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operation of an aerial cable car or aerial tramway by a regional mobility authority created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state agency</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 that is located in the jurisdiction of an authority created under Section 370.031(c)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370.303(b-1),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agreement under Subsection </w:t>
      </w:r>
      <w:r>
        <w:rPr>
          <w:u w:val="single"/>
        </w:rPr>
        <w:t xml:space="preserve">(a)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