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operation of an aerial cable car or aerial tramway by a regional mobility authority created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370.003(8) and (14),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"Governmental entity" means a political subdivision of the state, including a municipality or a county, a political subdivision of a county, a group of adjoining counties, a district organized or operating under Section 52, Article III, or Section 59, Article XVI, Texas Constitution, the department </w:t>
      </w:r>
      <w:r>
        <w:rPr>
          <w:u w:val="single"/>
        </w:rPr>
        <w:t xml:space="preserve">or another state agency</w:t>
      </w:r>
      <w:r>
        <w:t xml:space="preserve">, a rail district, a transit authority, a nonprofit corporation, including a transportation corporation, that is created under Chapter 431, or any other public entity or instrumentality.</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E, Chapter 222;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55.002</w:t>
      </w:r>
      <w:r>
        <w:rPr>
          <w:u w:val="single"/>
        </w:rPr>
        <w:t xml:space="preserve">; and</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aerial cable car or aerial tramway for the transportation of persons or property, or both, that is located in the jurisdiction of an authority created under Section 370.031(c)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370.303, Transportation Code, is amended to read as follows:</w:t>
      </w:r>
    </w:p>
    <w:p w:rsidR="003F3435" w:rsidRDefault="0032493E">
      <w:pPr>
        <w:spacing w:line="480" w:lineRule="auto"/>
        <w:ind w:firstLine="720"/>
        <w:jc w:val="both"/>
      </w:pPr>
      <w:r>
        <w:t xml:space="preserve">Sec.</w:t>
      </w:r>
      <w:r xml:space="preserve">
        <w:t> </w:t>
      </w:r>
      <w:r>
        <w:t xml:space="preserve">370.303.</w:t>
      </w:r>
      <w:r xml:space="preserve">
        <w:t> </w:t>
      </w:r>
      <w:r xml:space="preserve">
        <w:t> </w:t>
      </w:r>
      <w:r>
        <w:t xml:space="preserve">AGREEMENTS BETWEEN AUTHORITY AND [</w:t>
      </w:r>
      <w:r>
        <w:rPr>
          <w:strike/>
        </w:rPr>
        <w:t xml:space="preserve">LOCAL</w:t>
      </w:r>
      <w:r>
        <w:t xml:space="preserve">] GOVERNMENTAL ENTITIES.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370.303(b-1), Transportation Code, is amended to read as follows:</w:t>
      </w:r>
    </w:p>
    <w:p w:rsidR="003F3435" w:rsidRDefault="0032493E">
      <w:pPr>
        <w:spacing w:line="480" w:lineRule="auto"/>
        <w:ind w:firstLine="720"/>
        <w:jc w:val="both"/>
      </w:pPr>
      <w:r>
        <w:t xml:space="preserve">(b-1)</w:t>
      </w:r>
      <w:r xml:space="preserve">
        <w:t> </w:t>
      </w:r>
      <w:r xml:space="preserve">
        <w:t> </w:t>
      </w:r>
      <w:r>
        <w:t xml:space="preserve">An agreement under Subsection </w:t>
      </w:r>
      <w:r>
        <w:rPr>
          <w:u w:val="single"/>
        </w:rPr>
        <w:t xml:space="preserve">(a) or</w:t>
      </w:r>
      <w:r>
        <w:t xml:space="preserve"> (b) may include a means for a [</w:t>
      </w:r>
      <w:r>
        <w:rPr>
          <w:strike/>
        </w:rPr>
        <w:t xml:space="preserve">local</w:t>
      </w:r>
      <w:r>
        <w:t xml:space="preserve">] governmental entity to pledge or otherwise provide funds for a transportation project that benefits the governmental entity to be developed by the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2248 passed the Senate on May</w:t>
      </w:r>
      <w:r xml:space="preserve">
        <w:t> </w:t>
      </w:r>
      <w:r>
        <w:t xml:space="preserve">15,</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2248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120, Nays</w:t>
      </w:r>
      <w:r xml:space="preserve">
        <w:t> </w:t>
      </w:r>
      <w:r>
        <w:t xml:space="preserve">24,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