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86R14007 MTB-F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Flores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2260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grant program distributing money from the transportation infrastructure fund.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256.105(a),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by Subsection (b), to be eligible to receive a grant under the program, matching funds must be provided, from any source</w:t>
      </w:r>
      <w:r>
        <w:rPr>
          <w:u w:val="single"/>
        </w:rPr>
        <w:t xml:space="preserve">, including in-kind contributions</w:t>
      </w:r>
      <w:r>
        <w:t xml:space="preserve">, in an amount equal to at least 20 percent of the amount of the grant.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256.106(b),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department may use one-half of one percent of the amount deposited into the fund in the preceding </w:t>
      </w:r>
      <w:r>
        <w:rPr>
          <w:u w:val="single"/>
        </w:rPr>
        <w:t xml:space="preserve">or current</w:t>
      </w:r>
      <w:r>
        <w:t xml:space="preserve"> fiscal year, not to exceed $500,000 in a state fiscal biennium, to administer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2260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