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86R488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practices and operation of pharmacy benefit managers;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1369, Insurance Code, is amended to read as follows:</w:t>
      </w:r>
    </w:p>
    <w:p w:rsidR="003F3435" w:rsidRDefault="0032493E">
      <w:pPr>
        <w:spacing w:line="480" w:lineRule="auto"/>
        <w:jc w:val="center"/>
      </w:pPr>
      <w:r>
        <w:t xml:space="preserve">SUBCHAPTER H.  </w:t>
      </w:r>
      <w:r>
        <w:rPr>
          <w:u w:val="single"/>
        </w:rPr>
        <w:t xml:space="preserve">PRICING AND REIMBURSEMENT PRACTICES; APPEALS AND COMPLAINTS</w:t>
      </w:r>
      <w:r>
        <w:t xml:space="preserve"> [</w:t>
      </w:r>
      <w:r>
        <w:rPr>
          <w:strike/>
        </w:rPr>
        <w:t xml:space="preserve">MAXIMUM ALLOWABLE COST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1369, Insurance Code, is amended by adding Sections 1369.3581, 1369.3582, and 1369.3583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1369.3581.</w:t>
      </w:r>
      <w:r>
        <w:rPr>
          <w:u w:val="single"/>
        </w:rPr>
        <w:t xml:space="preserve"> </w:t>
      </w:r>
      <w:r>
        <w:rPr>
          <w:u w:val="single"/>
        </w:rPr>
        <w:t xml:space="preserve"> </w:t>
      </w:r>
      <w:r>
        <w:rPr>
          <w:u w:val="single"/>
        </w:rPr>
        <w:t xml:space="preserve">PROHIBITED REIMBURSEMENT PRACTICES; RETROACTIVE REDUCTION OR DENIAL OF CLAIM.  A pharmacy benefit manager may not on an aggregated basis or otherwise reduce or deny a claim for pharmacy services after adjudication of the claim unless the pharmacy benefit manager produces to the pharmacist or pharmacy prima facie evidence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or intentional misrepresentation related to the claim;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actual financial harm to the relevant enrollee or health benefit plan issuer.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1369.3582.</w:t>
      </w:r>
      <w:r>
        <w:rPr>
          <w:u w:val="single"/>
        </w:rPr>
        <w:t xml:space="preserve"> </w:t>
      </w:r>
      <w:r>
        <w:rPr>
          <w:u w:val="single"/>
        </w:rPr>
        <w:t xml:space="preserve"> </w:t>
      </w:r>
      <w:r>
        <w:rPr>
          <w:u w:val="single"/>
        </w:rPr>
        <w:t xml:space="preserve">PRICING APPEALS GENERALLY.  (a)  The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a standard procedure by which a pharmacist or pharmacy may appeal to the pharmacy benefit manager any pricing decision made by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pharmacy benefit manager to use only the prescribed procedure for a pharmacist's or pharmacy's appeal of the pharmacy benefit manager's pricing decision;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pharmacy benefit manager who denies an appeal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to the appealing pharmacist or pharmacy the National Drug Code number of the relevant drug sold at a price below the price subject to the appeal and the name of the national or regional pharmaceutical wholesalers operating in this state that currently stock the drug at the lower price;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lower price described by Paragraph (A) is more than the appealing pharmacist's or pharmacy's pharmacy acquisition cost of the relevant drug bought from a pharmaceutical wholesaler from which the pharmacist or pharmacy regularly purchases the majority of the pharmacist's or pharmacy's drugs for resale: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adjust the Maximum Allowable Cost List price to an amount above the pharmacist's or pharmacy's pharmacy acquisition cost;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permit the pharmacist or pharmacy to reverse and rebill each claim affected by the pharmacist's or pharmacy's inability to purchase the drug at a cost that is equal to or less than the price subject to the appeal.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prescribing the procedure under this section,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input from any interested party;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appeal procedure that is widely used commercially in this state or by the department or the Centers for Medicare and Medicaid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national standard or draft standard relating to the appeal of a pharmacy benefit manager's pricing decision.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establish penalties for failure to use the procedure prescribed under this section in accordance with this subchapter.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pharmacy benefit manager that violates this subchapter  or a rule adopted under this subchapter commits an unfair practice in violation of Chapter 541 and is subject to sanctions under Chapter 82.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1369.3583.</w:t>
      </w:r>
      <w:r>
        <w:rPr>
          <w:u w:val="single"/>
        </w:rPr>
        <w:t xml:space="preserve"> </w:t>
      </w:r>
      <w:r>
        <w:rPr>
          <w:u w:val="single"/>
        </w:rPr>
        <w:t xml:space="preserve"> </w:t>
      </w:r>
      <w:r>
        <w:rPr>
          <w:u w:val="single"/>
        </w:rPr>
        <w:t xml:space="preserve">COMPLAINT PROGRAM.  (a)  The department shall establish a program to facilitate resolution of complaints against a pharmacy benefit manger relating to the pharmacy benefit manager's reimbursement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file a complaint with the department under the program established under Subsection (a) if the complaint includes credible evidence that a pharmacy benefit manager engaged in an intentional course of conduct exhibited through a pattern or practice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constitutes improper, fraudulent, or dishonest contract performance with the pharmacist or pharmacy.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determine by rule the threshold for filing a complaint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receipt of a complaint satisfying the threshold established under Subsection (c), the commissioner shall provide notice to the pharmacy benefit manager that is the subject of the complaint and conduct a hearing to determine if the pharmacy benefit manager engaged in a course of conduct described by Subsection (b).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between the pharmacist or pharmacy and the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independent nationwide drug pricing databases or reference materials, including National Average Drug Acquisition Cost reference data developed by the Centers for Medicare and Medicaid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relevant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take appropriate disciplinary action against the pharmacy benefit manager as provided by this code if the commissioner finds that the pharmacy benefit manager engaged in a course of conduct described by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I, Chapter 1369, Insurance Code, is amended to read as follows:</w:t>
      </w:r>
    </w:p>
    <w:p w:rsidR="003F3435" w:rsidRDefault="0032493E">
      <w:pPr>
        <w:spacing w:line="480" w:lineRule="auto"/>
        <w:jc w:val="center"/>
      </w:pPr>
      <w:r>
        <w:t xml:space="preserve">SUBCHAPTER I.  PHARMACY BENEFIT CLAIM ADJUDICATION </w:t>
      </w:r>
      <w:r>
        <w:rPr>
          <w:u w:val="single"/>
        </w:rPr>
        <w:t xml:space="preserve">AND DISPUTE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1369, Insurance Code, is amended by adding Sections 1369.403, 1369.404, 1369.405, 1369.406, 1369.407, 1369.408, 1369.409, 1369.410, and 1369.411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1369.403.</w:t>
      </w:r>
      <w:r>
        <w:rPr>
          <w:u w:val="single"/>
        </w:rPr>
        <w:t xml:space="preserve"> </w:t>
      </w:r>
      <w:r>
        <w:rPr>
          <w:u w:val="single"/>
        </w:rPr>
        <w:t xml:space="preserve"> </w:t>
      </w:r>
      <w:r>
        <w:rPr>
          <w:u w:val="single"/>
        </w:rPr>
        <w:t xml:space="preserve">REQUEST AND PRELIMINARY PROCEDURES FOR MANDATORY MEDIATION.  (a)  A pharmacist or pharmacy may request mandatory mediation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request for mandatory mediation must be provided to the department on a form prescribed by the commissioner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pharmacist or pharmacy requesting mediation;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description of the claim to be mediated;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contact information, including a telephone number, for the requesting pharmacist or pharmacy and the pharmacist's or pharmacy's counsel, if the pharmacist or pharmacy retains counsel;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pharmacy benefit manager and name of the applicable health benefit plan issuer;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commissioner may require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 request for mediation, the department shall notify the pharmacy benefit manager and applicable health benefit plan issuer of the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effort to settle the claim before mediation, all parties must participate in an informal settlement teleconference not later than the 30th day after the date on which the pharmacist or pharmacy submits a request for mediation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dispute to be mediated under this subchapter that does not settle as a result of a teleconference conducted under Subsection (d) must be conducted in the county in which the pharmacist or pharmacy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1369.404.</w:t>
      </w:r>
      <w:r>
        <w:rPr>
          <w:u w:val="single"/>
        </w:rPr>
        <w:t xml:space="preserve"> </w:t>
      </w:r>
      <w:r>
        <w:rPr>
          <w:u w:val="single"/>
        </w:rPr>
        <w:t xml:space="preserve"> </w:t>
      </w:r>
      <w:r>
        <w:rPr>
          <w:u w:val="single"/>
        </w:rPr>
        <w:t xml:space="preserve">MEDIATOR QUALIFICATIONS.  (a)  Except as provided by Subsection (b), to qualify for an appointment as a mediator under this subchapter a person must have completed at least 40 classroom hours of training in dispute resolution techniques in a course conducted by an alternative dispute resolution organization or other dispute resolution organization approved by the chief administrative law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not qualified under Subsection (a) may be appointed as a mediator on agreement of the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act as mediator for a claim adjudication dispute if the person has been employed by, consulted for, or otherwise had a business relationship with a pharmacist, pharmacy, or pharmacy benefit manager during the three years immediately preceding the request for mediation.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1369.405.</w:t>
      </w:r>
      <w:r>
        <w:rPr>
          <w:u w:val="single"/>
        </w:rPr>
        <w:t xml:space="preserve"> </w:t>
      </w:r>
      <w:r>
        <w:rPr>
          <w:u w:val="single"/>
        </w:rPr>
        <w:t xml:space="preserve"> </w:t>
      </w:r>
      <w:r>
        <w:rPr>
          <w:u w:val="single"/>
        </w:rPr>
        <w:t xml:space="preserve">APPOINTMENT OF MEDIATOR; FEES.  (a)  A mediation shall be conducted by one mediator.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administrative law judge shall appoint the mediator through a random assignment from a list of qualified mediators maintained by the State Office of Administrative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person other than a mediator appointed by the chief administrative law judge may conduct the mediation on agreement of all of the parties and notice to the chief administrative law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mediator's fees shall be split evenly and paid by the pharmacist or pharmacy and the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1369.406.</w:t>
      </w:r>
      <w:r>
        <w:rPr>
          <w:u w:val="single"/>
        </w:rPr>
        <w:t xml:space="preserve"> </w:t>
      </w:r>
      <w:r>
        <w:rPr>
          <w:u w:val="single"/>
        </w:rPr>
        <w:t xml:space="preserve"> </w:t>
      </w:r>
      <w:r>
        <w:rPr>
          <w:u w:val="single"/>
        </w:rPr>
        <w:t xml:space="preserve">CONDUCT OF MEDIATION; CONFIDENTIALITY.  (a)  A mediator may not impose the mediator's judgment on a party about an issue that is a subject of the mediation.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mediation session is under the control of the mediator.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subchapter, the mediator must hold in strict confidence all information provided to the mediator by a party and all communications of the mediator with a party.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must have an opportunity during the mediation to speak and state the party's position.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on the agreement of the participating parties, a mediation may not last more than four hours.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at the request of a pharmacist or pharmacy, a mediation shall be held not later than the 180th day after the date of the request for mediation.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1369.407.</w:t>
      </w:r>
      <w:r>
        <w:rPr>
          <w:u w:val="single"/>
        </w:rPr>
        <w:t xml:space="preserve"> </w:t>
      </w:r>
      <w:r>
        <w:rPr>
          <w:u w:val="single"/>
        </w:rPr>
        <w:t xml:space="preserve"> </w:t>
      </w:r>
      <w:r>
        <w:rPr>
          <w:u w:val="single"/>
        </w:rPr>
        <w:t xml:space="preserve">MATTERS CONSIDERED IN MEDIATION; AGREED RESOLUTION.  (a)  In a mediation under this subchapter, the parties shall evaluate the adjudicated claim amount and whether the amount is in accordance with this chapter and the pharmacy benefit contract between the pharmacist or pharmacy and the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parties shall consider one or more independent nationwide drug pricing databases or reference materials, including National Average Drug Acquisition Cost reference data developed by the Centers for Medicare and Medicaid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subchapter prohibits mediation of more than one adjudicated claim between the parties at a mediation.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goal of the mediation is to reach an agreement among the pharmacist or pharmacy, the pharmacy benefit manager, and the health benefit plan issuer as to the amount paid to the pharmacist or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1369.408.</w:t>
      </w:r>
      <w:r>
        <w:rPr>
          <w:u w:val="single"/>
        </w:rPr>
        <w:t xml:space="preserve"> </w:t>
      </w:r>
      <w:r>
        <w:rPr>
          <w:u w:val="single"/>
        </w:rPr>
        <w:t xml:space="preserve"> </w:t>
      </w:r>
      <w:r>
        <w:rPr>
          <w:u w:val="single"/>
        </w:rPr>
        <w:t xml:space="preserve">NO AGREED RESOLUTION.  (a)  The mediator of an unsuccessful mediation under this subchapter shall report the outcome of the mediation to the department and the chief administrative law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administrative law judge shall enter an order of referral of a matter reported under Subsection (a) to a special judge under Chapter 151, Civil Practice and Remedies 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names the special judge on whom the parties agreed or appoints the special judge if the parties did not agree on a judge;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the issues to be referred and</w:t>
      </w:r>
      <w:r>
        <w:rPr>
          <w:u w:val="single"/>
        </w:rPr>
        <w:t xml:space="preserve"> </w:t>
      </w:r>
      <w:r>
        <w:rPr>
          <w:u w:val="single"/>
        </w:rPr>
        <w:t xml:space="preserve"> </w:t>
      </w:r>
      <w:r>
        <w:rPr>
          <w:u w:val="single"/>
        </w:rPr>
        <w:t xml:space="preserve">the time and place on which the parties agree for the trial;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requires each party to pay the party's proportionate share of the special judge's fee;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certifies that the parties have waived the right to trial by jury.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trial by the special judge selected or appointed as described by Subsection (b) must proceed under Chapter 151, Civil Practice and Remedies Code, except that the special judge's verdict is not relevant or material to any other adjudicated claim and has no precedential value.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Section 151.012, Civil Practice and Remedies Code, does not apply to a mediation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1369.409.</w:t>
      </w:r>
      <w:r>
        <w:rPr>
          <w:u w:val="single"/>
        </w:rPr>
        <w:t xml:space="preserve"> </w:t>
      </w:r>
      <w:r>
        <w:rPr>
          <w:u w:val="single"/>
        </w:rPr>
        <w:t xml:space="preserve"> </w:t>
      </w:r>
      <w:r>
        <w:rPr>
          <w:u w:val="single"/>
        </w:rPr>
        <w:t xml:space="preserve">REPORT OF MEDIATOR.  The mediator shall report to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parties to the mediation;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parties reached an agreement or the mediator made a referral under Section 1369.408.</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1369.410.</w:t>
      </w:r>
      <w:r>
        <w:rPr>
          <w:u w:val="single"/>
        </w:rPr>
        <w:t xml:space="preserve"> </w:t>
      </w:r>
      <w:r>
        <w:rPr>
          <w:u w:val="single"/>
        </w:rPr>
        <w:t xml:space="preserve"> </w:t>
      </w:r>
      <w:r>
        <w:rPr>
          <w:u w:val="single"/>
        </w:rPr>
        <w:t xml:space="preserve">BAD FAITH.  (a)  The following conduct constitutes bad faith mediation 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participate in the mediation;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failing to provide information the mediator believes is necessary to facilitate an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designate a representative participating in the mediation with full authority to enter into any mediated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Failure to reach an agreement is not conclusive proof of bad faith mediation.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1369.411.</w:t>
      </w:r>
      <w:r>
        <w:rPr>
          <w:u w:val="single"/>
        </w:rPr>
        <w:t xml:space="preserve"> </w:t>
      </w:r>
      <w:r>
        <w:rPr>
          <w:u w:val="single"/>
        </w:rPr>
        <w:t xml:space="preserve"> </w:t>
      </w:r>
      <w:r>
        <w:rPr>
          <w:u w:val="single"/>
        </w:rPr>
        <w:t xml:space="preserve">PENALTIES.  (a)  Bad faith mediation by a pharmacy benefit manager is grounds for imposition of an administrative penalty under Chapter 4151.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for good cause shown, on a report of a mediator and appropriate proof of bad faith mediation, the commissioner shall impose an administrative penalty.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PHARMACY BENEFIT MANAGERS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covered under a health benefit plan, including a covered dependent.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 plan" means an individual, group, blanket, or franchise insurance policy or insurance agreement, a group hospital service contract, or an individual or group subscriber contract or evidence of coverage or similar coverage document issued by a health maintenance organization, that provides health insurance or health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issuer" means an entity authorized under this code or another insurance law of this state that provides health insurance or health benefits through a health benefit plan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"Pharmacist service" means the provision of a product or good, patient care, or other clinical, professional, or administrative services in the practice of pharmacy.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"Pharmacy benefit network" means a system for the delivery of pharmacy benefits and pharmacist services established by contract between a pharmacy benefit manager and a pharmacist or pharmacy.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"Rebate" means a discount or other concession, including an incentive, related to dispensing a prescription drug that is paid by a manufacturer or third party, directly or indirectly, to a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CONTRACT REQUIREMENTS; CONTRACT ACCESS.  (a)  A pharmacy benefit manager may not sell, lease, or otherwise transfer information regarding the payment or reimbursement terms of a pharmacy benefit network contract without the express authority of and prior adequate notification to the pharmacists or pharmacies in the pharmacy benefit network.  The prior adequate notification must be provided in the written format specified by the pharmacy benefit network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provide a person access to pharmacy services or contractual discounts under a pharmacy benefit network contract unless the contract specifically: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the pharmacy benefit manager to provide to the person access to the pharmacy benefit manager's rights and responsibilities under the pharmacy benefit network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the person's access contingent on the person complying with all applicable terms, limitations, and conditions of the pharmacy benefit network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pharmacy benefit network contract must require that, on the request of a pharmacist or pharmacy, the pharmacy benefit manager will timely provide information necessary for the pharmacist or pharmacy to determine whether a person is authorized to access the pharmacist's or pharmacy's services and contractual discounts.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pharmacy benefit network contract must specify or reference a separate fee schedule.  The fee schedule  may be provided by any reasonable method, including electronically.  The fee schedule may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a pharmacy benefit manager shall permit a pharmacist or pharmacy participating in a pharmacy benefit network reasonable access, including electronic access, during business hours to review the pharmacy benefit network contract.  The information obtained during the review may be used or disclosed only for the purposes of complying with the terms of the contract, this subchapter, or other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FIDUCIARY DUTIES.  (a)  A pharmacy benefit manager of a health benefit plan issuer is a fiduciary of the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pharmacy benefit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 in accordance with the standards of conduct applicable to a fiduciary in an enterprise of like character and with like 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its duties with care, skill, prudence, and diligence;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the fiduciary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pharmacy benefit manager shall notify the health benefit plan issuer in writing of any activity, policy, or practice of the pharmacy benefit manager that directly or indirectly presents a conflict of interest between the pharmacy benefit manager and the health benefit plan issuer.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pharmacy benefit manager shall provide to a health benefit plan issuer all financial and utilization information requested by the health benefit plan issuer relating to the  provision of benefits to the relevant enrollees and any financial and utilization information relating to the pharmacy benefit manager's services to the health benefit plan issuer.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pharmacy benefit manager substitutes a more expensive drug for a prescribed drug, the pharmacy benefit manager shall disclose to the health benefit plan issuer the cost of the prescribed drug and the substitute drug and the amount of any rebate the pharmacy benefit manager may receive, directly or indirectly, as a result of the substitution.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pharmacy benefit manager shall transfer to the health benefit plan issuer the entire amount of any rebate that the pharmacy benefit manager receives, directly or indirectly, for any reason, including as the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substitution described by Subsection (e);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substitution by the pharmacy benefit manager of a lower-priced generic and therapeutically equivalent drug for a higher-priced prescribed drug;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volume of sales of a drug or a class or brand of drug.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pharmacy benefit manager shall disclose to a health benefit plan issuer all financial terms and arrangements for remuneration of any kind, including rebates, that the pharmacy benefit manager has with each drug manufacturer or relabeler, as defined by 21 C.F.R. Section 207.1, including formulary management and drug-switch programs, educational support, claims processing and pharmacy network fees that are charged from pharmacists and pharmacies, and data sales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PHARMACY BENEFIT NETWORK STANDARDS.  (a) The commissioner shall by rule adopt pharmacy benefit network adequacy standards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adapted to local markets in which a pharmacy benefit manager operates;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availability of, and accessibility to, a full range of contracted pharmacists and pharmacies to provide pharmacy services to enrollees;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good cause shown, may allow departure from local market network adequacy standards if the commissioner posts on the department's Internet website the name of the pharmacy benefit manager, the health benefit plan issuer, and the affected local market.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not consider mail-order pharmacies in the determination of the pharmacy benefit network adequacy standards adopted by rule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1369.505.</w:t>
      </w:r>
      <w:r>
        <w:rPr>
          <w:u w:val="single"/>
        </w:rPr>
        <w:t xml:space="preserve"> </w:t>
      </w:r>
      <w:r>
        <w:rPr>
          <w:u w:val="single"/>
        </w:rPr>
        <w:t xml:space="preserve"> </w:t>
      </w:r>
      <w:r>
        <w:rPr>
          <w:u w:val="single"/>
        </w:rPr>
        <w:t xml:space="preserve">ANY WILLING PROVIDER.  (a)  A pharmacy benefit manager may not exclude a pharmacist or pharmacy from participation in a pharmacy benefit network if the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accepts the terms, conditions, and reimbursement rates of the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applicable federal and state licensure and permit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been terminated for cause as a provider in any federal or state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required by the commissioner in coordination with the Texas State Board of Pharmacy, a pharmacy benefit manager may not require, as a condition of participating in a pharmacy benefit network, that a pharmacist or pharmacy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accreditation, credentialing, or certification inconsistent with, more stringent than, or in addition to the requirements imposed by the Texas State Board of Pharmacy or state or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performance or surety bond or other financial guarantee in excess of the requirements imposed by the Texas State Board of Pharmacy or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1369.506.</w:t>
      </w:r>
      <w:r>
        <w:rPr>
          <w:u w:val="single"/>
        </w:rPr>
        <w:t xml:space="preserve"> </w:t>
      </w:r>
      <w:r>
        <w:rPr>
          <w:u w:val="single"/>
        </w:rPr>
        <w:t xml:space="preserve"> </w:t>
      </w:r>
      <w:r>
        <w:rPr>
          <w:u w:val="single"/>
        </w:rPr>
        <w:t xml:space="preserve">PROTECTED COMMUNICATION AND OTHER PRACTICES BY PHARMACISTS AND PHARMACIES.  (a)  In a participation contract between a pharmacy benefit manager and a pharmacist or pharmacy providing prescription drug coverage for a health benefit plan, a pharmacist or pharmacy may not be prohibited or restricted from or penalized in any way for disclosing to an enrollee any health care information that the pharmacist or pharmacy considers appropriate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of treatment, risks, or alternative therapies;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alternate therapies, consultations, or tests;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decision of utilization reviewers or similar persons to authorize or deny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 used to authorize or deny health care services or benefits;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incentives and structures used by the relevant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provide to an enrollee information regarding the enrollee's total cost for a pharmacist service for a prescription drug.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pharmacy benefit manager may not prohibit a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discussing information regarding the total cost for a pharmacist service for a prescription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selling a more affordable alternative to the enrollee if a more affordable alternative is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pharmacy benefit manager contract with a participating pharmacist or pharmacy may not prohibit, restrict, or limit disclosure of information to the commissioner, law enforcement, or state or federal governmental officials investigating or examining a complaint or conducting a review of a pharmacy benefit manager's compliance with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1369.507.</w:t>
      </w:r>
      <w:r>
        <w:rPr>
          <w:u w:val="single"/>
        </w:rPr>
        <w:t xml:space="preserve"> </w:t>
      </w:r>
      <w:r>
        <w:rPr>
          <w:u w:val="single"/>
        </w:rPr>
        <w:t xml:space="preserve"> </w:t>
      </w:r>
      <w:r>
        <w:rPr>
          <w:u w:val="single"/>
        </w:rPr>
        <w:t xml:space="preserve">RECOUPMENT LIMITATION.  (a) </w:t>
      </w:r>
      <w:r>
        <w:rPr>
          <w:u w:val="single"/>
        </w:rPr>
        <w:t xml:space="preserve"> </w:t>
      </w:r>
      <w:r>
        <w:rPr>
          <w:u w:val="single"/>
        </w:rPr>
        <w:t xml:space="preserve">A reimbursement made to a pharmacist or pharmacy by a pharmacy benefit manager may not be denied or reduced after adjudication of the claim,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original claim was submitted fraudulently;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original claim payment was incorrect because the pharmacist or pharmacy had already been paid for the pharmacist service;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pharmacist service was not properly rendered by the pharmacist or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entitled to a recoupment on the basis of a discrepancy found during an audit related to a drug that was properly dispensed may only recover fees paid by the pharmacy benefit manager to the pharmacist or pharmacy associated with the audited claim and may not recoup the cost of the drug or other ingredient or any other amount related to the claim.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D, Chapter 4151, Insurance Code, is amended to read as follows:</w:t>
      </w:r>
    </w:p>
    <w:p w:rsidR="003F3435" w:rsidRDefault="0032493E">
      <w:pPr>
        <w:spacing w:line="480" w:lineRule="auto"/>
        <w:jc w:val="center"/>
      </w:pPr>
      <w:r>
        <w:t xml:space="preserve">SUBCHAPTER D.  PHARMACY </w:t>
      </w:r>
      <w:r>
        <w:rPr>
          <w:u w:val="single"/>
        </w:rPr>
        <w:t xml:space="preserve">BENEFITS</w:t>
      </w:r>
      <w:r>
        <w:t xml:space="preserve"> [</w:t>
      </w:r>
      <w:r>
        <w:rPr>
          <w:strike/>
        </w:rPr>
        <w:t xml:space="preserve">BENEFIT PLANS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4151, Insurance Code, is amended by adding Section 4151.155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4151.155.</w:t>
      </w:r>
      <w:r>
        <w:rPr>
          <w:u w:val="single"/>
        </w:rPr>
        <w:t xml:space="preserve"> </w:t>
      </w:r>
      <w:r>
        <w:rPr>
          <w:u w:val="single"/>
        </w:rPr>
        <w:t xml:space="preserve"> </w:t>
      </w:r>
      <w:r>
        <w:rPr>
          <w:u w:val="single"/>
        </w:rPr>
        <w:t xml:space="preserve">BOARD OF PHARMACY REQUESTS.  The commissioner shall provide to the Texas State Board of Pharmacy, on the board's request, a copy of any document related to an action taken under Subchapter G against a pharmacy benefit manager,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document or information or data submitted by a pharmacy benefit manager to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correspondence between the pharmacy benefit manager and the commissioner;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written notice, finding, or determination, or other document sent by the commissioner to the pharmacy benefit manager.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1369.357, Insurance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1369, Insurance Code, as amended by this Act, applies only to a contract between a pharmacy benefit manager and  a pharmacist or pharmacy entered into or renewed on or after January 1, 2020.  A contract entered into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