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86R4132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2263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of costs incurred by school districts in litigation or resolution of special education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29, Education Code, is amended by adding Section 29.024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29.024.</w:t>
      </w:r>
      <w:r>
        <w:rPr>
          <w:u w:val="single"/>
        </w:rPr>
        <w:t xml:space="preserve"> </w:t>
      </w:r>
      <w:r>
        <w:rPr>
          <w:u w:val="single"/>
        </w:rPr>
        <w:t xml:space="preserve"> </w:t>
      </w:r>
      <w:r>
        <w:rPr>
          <w:u w:val="single"/>
        </w:rPr>
        <w:t xml:space="preserve">LITIGATION COSTS.  (a)  A school district shall provide information each year to the agency regarding the amount expended by the district for legal representation in litigating special education cases, including cases using alternative dispute resolution procedures.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reported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spent by the district on legal fees for private attorneys retained to represent the district;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spent by the district on legal fees for private attorneys retained to represent the district in cases using alternative dispute resolution procedures, including individualized education program facilitation under Section 29.019;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spent by the district, if any, to pay the salary of one or more attorneys employed by the district solely to provide legal services to the district in litigating special education cases, including cases using alternative dispute resolution procedures.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category described by Subsection (b), a district must also report the amount expended on a per-student basis, which is the amount that results from dividing the total amount by the number of students who received special education services from the district during the applicable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