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86R6324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2264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municipalities to pledge certain tax revenue for the payment of obligations related to multipurpose convention center facility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351.1021.</w:t>
      </w:r>
      <w:r>
        <w:rPr>
          <w:u w:val="single"/>
        </w:rPr>
        <w:t xml:space="preserve"> </w:t>
      </w:r>
      <w:r>
        <w:rPr>
          <w:u w:val="single"/>
        </w:rPr>
        <w:t xml:space="preserve"> </w:t>
      </w:r>
      <w:r>
        <w:rPr>
          <w:u w:val="single"/>
        </w:rPr>
        <w:t xml:space="preserve">PLEDGE FOR BONDS BY CERTAIN MUNICIPALITIES.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municipality" means a municipality described by Section 351.102(e)(9).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"Multipurpose convention center facility project" means a project that consists of an existing hotel owned by an eligible municipality or another person and a multipurpose convention center facility to be acquired, constructed, equipped, or leased by the municipality that will be located within one mile of the hotel,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new or existing business located in the municipality that is within 1,000 feet of the outer boundary of any component part of the multipurpose convention center facility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related transportation infrastructure necessary to operate the multipurpose convention center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"Related transportation infrastructure"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parking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shuttle system that connects a multipurpose convention center facility to a hotel, to a parking facility, or to a hotel and a parking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eligible municipality is entitled to receive all funds from a multipurpose convention center facility project that the owner of a project could receive under Section 151.429(h) of this code or Section 2303.5055, Government Code, if a project for purposes of those provisions included a multipurpose convention center facility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municipality may pledge the funds to which the municipality is entitled under Subsection (b) for the payment of bonds or other obligations issued or incurred to acquire, lease, construct, or equip the multipurpose convention center facility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the funds in a separate suspense account of the eligible municipality outside the state treasury.  The comptroller may make a rebate, refund, or payment authorized under this section without the necessity of an appropriation.  The comptroller shall rebate, refund, or pay to the eligible municipality the funds to which the municipality is entitled under this section at least monthly.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351.102(g) does not apply to the receipt or pledge of funds authorized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