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86R16634 KLA-D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pharmacy benefits through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533.005(a) and (a-2),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w:t>
      </w:r>
      <w:r>
        <w:rPr>
          <w:u w:val="single"/>
        </w:rPr>
        <w:t xml:space="preserve">and Section 533.00513</w:t>
      </w:r>
      <w:r>
        <w:t xml:space="preserve">,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w:t>
      </w:r>
      <w:r>
        <w:rPr>
          <w:strike/>
        </w:rPr>
        <w:t xml:space="preserve">or any subcontracted pharmacy benefit manager</w:t>
      </w:r>
      <w:r>
        <w:t xml:space="preserve">] to contract with a pharmacist or pharmacy providers separately for specialty pharmacy services, except that[</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w:t>
      </w:r>
      <w:r>
        <w:rPr>
          <w:strike/>
        </w:rPr>
        <w:t xml:space="preserve">(ii)</w:t>
      </w:r>
      <w:r>
        <w:t xml:space="preserve">]</w:t>
      </w:r>
      <w:r xml:space="preserve">
        <w:t> </w:t>
      </w:r>
      <w:r xml:space="preserve">
        <w:t> </w:t>
      </w:r>
      <w:r>
        <w:t xml:space="preserve">the managed care organization [</w:t>
      </w:r>
      <w:r>
        <w:rPr>
          <w:strike/>
        </w:rPr>
        <w:t xml:space="preserve">and pharmacy benefit manager</w:t>
      </w:r>
      <w:r>
        <w:t xml:space="preserve">]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w:t>
      </w:r>
      <w:r>
        <w:rPr>
          <w:strike/>
        </w:rPr>
        <w:t xml:space="preserve">or pharmacy benefit manager, as applicable,</w:t>
      </w:r>
      <w:r>
        <w:t xml:space="preserve">] must pay claims in accordance with Section 843.339, Insurance Code;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w:t>
      </w:r>
      <w:r>
        <w:rPr>
          <w:strike/>
        </w:rPr>
        <w:t xml:space="preserve">or pharmacy benefit manager, as applicable</w:t>
      </w:r>
      <w:r>
        <w:t xml:space="preserv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w:t>
      </w:r>
      <w:r>
        <w:rPr>
          <w:strike/>
        </w:rPr>
        <w:t xml:space="preserve">or pharmacy benefit manager, as appropriate</w:t>
      </w:r>
      <w:r>
        <w:t xml:space="preserv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(a-2)</w:t>
      </w:r>
      <w:r xml:space="preserve">
        <w:t> </w:t>
      </w:r>
      <w:r xml:space="preserve">
        <w:t> </w:t>
      </w:r>
      <w:r>
        <w:t xml:space="preserve">Except as provided by Subsection (a)(23)(K)(viii), a maximum allowable cost list specific to a provider and maintained by a managed care organization [</w:t>
      </w:r>
      <w:r>
        <w:rPr>
          <w:strike/>
        </w:rPr>
        <w:t xml:space="preserve">or pharmacy benefit manager</w:t>
      </w:r>
      <w:r>
        <w:t xml:space="preserve">] is confidential.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533.00513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533.00513.</w:t>
      </w:r>
      <w:r>
        <w:rPr>
          <w:u w:val="single"/>
        </w:rPr>
        <w:t xml:space="preserve"> </w:t>
      </w:r>
      <w:r>
        <w:rPr>
          <w:u w:val="single"/>
        </w:rPr>
        <w:t xml:space="preserve"> </w:t>
      </w:r>
      <w:r>
        <w:rPr>
          <w:u w:val="single"/>
        </w:rPr>
        <w:t xml:space="preserve">PROHIBITED SUBCONTRACTS.  A managed care organization that contracts with the commission under this chapter to provide health care services to recipients may not contract with a pharmacy benefit manager for purposes of maintaining an outpatient pharmacy benefit plan for the organization's enrolled recipients as required by Section 533.005(a)(23).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managed care organization contracting with the commission under this chapter shall submit the following, at no cost, to the commission and, on request, the office of the attorney general:</w:t>
      </w:r>
    </w:p>
    <w:p w:rsidR="003F3435" w:rsidRDefault="0032493E">
      <w:pPr>
        <w:spacing w:line="480" w:lineRule="auto"/>
        <w:ind w:firstLine="1440"/>
        <w:jc w:val="both"/>
      </w:pPr>
      <w:r>
        <w:t xml:space="preserve">(1)</w:t>
      </w:r>
      <w:r xml:space="preserve">
        <w:t> </w:t>
      </w:r>
      <w:r xml:space="preserve">
        <w:t> </w:t>
      </w:r>
      <w:r>
        <w:t xml:space="preserve">a description of any financial or other business relationship between the organization and any subcontractor providing health care services under the contract;</w:t>
      </w:r>
    </w:p>
    <w:p w:rsidR="003F3435" w:rsidRDefault="0032493E">
      <w:pPr>
        <w:spacing w:line="480" w:lineRule="auto"/>
        <w:ind w:firstLine="1440"/>
        <w:jc w:val="both"/>
      </w:pPr>
      <w:r>
        <w:t xml:space="preserve">(2)</w:t>
      </w:r>
      <w:r xml:space="preserve">
        <w:t> </w:t>
      </w:r>
      <w:r xml:space="preserve">
        <w:t> </w:t>
      </w:r>
      <w:r>
        <w:t xml:space="preserve">a copy of each type of contract between the organization and a subcontractor relating to the delivery of or payment for health care services;</w:t>
      </w:r>
    </w:p>
    <w:p w:rsidR="003F3435" w:rsidRDefault="0032493E">
      <w:pPr>
        <w:spacing w:line="480" w:lineRule="auto"/>
        <w:ind w:firstLine="1440"/>
        <w:jc w:val="both"/>
      </w:pPr>
      <w:r>
        <w:t xml:space="preserve">(3)</w:t>
      </w:r>
      <w:r xml:space="preserve">
        <w:t> </w:t>
      </w:r>
      <w:r xml:space="preserve">
        <w:t> </w:t>
      </w:r>
      <w:r>
        <w:t xml:space="preserve">a description of the fraud control program used by any subcontractor that delivers health care services; and</w:t>
      </w:r>
    </w:p>
    <w:p w:rsidR="003F3435" w:rsidRDefault="0032493E">
      <w:pPr>
        <w:spacing w:line="480" w:lineRule="auto"/>
        <w:ind w:firstLine="1440"/>
        <w:jc w:val="both"/>
      </w:pPr>
      <w:r>
        <w:t xml:space="preserve">(4)</w:t>
      </w:r>
      <w:r xml:space="preserve">
        <w:t> </w:t>
      </w:r>
      <w:r xml:space="preserve">
        <w:t> </w:t>
      </w:r>
      <w:r>
        <w:t xml:space="preserve">a description and breakdown of all funds paid to or by the managed care organization, including a health maintenance organization, primary care case management provider, [</w:t>
      </w:r>
      <w:r>
        <w:rPr>
          <w:strike/>
        </w:rPr>
        <w:t xml:space="preserve">pharmacy benefit manager,</w:t>
      </w:r>
      <w:r>
        <w:t xml:space="preserve">] and exclusive provider organization, necessary for the commission to determine the actual cost of administering the managed care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32.046(a),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adopt rules governing sanctions and penalties that apply to a provider who participates in the vendor drug program or is enrolled as a network pharmacy provider of a managed care organization contracting with the commission under Chapter 533, Government Code, [</w:t>
      </w:r>
      <w:r>
        <w:rPr>
          <w:strike/>
        </w:rPr>
        <w:t xml:space="preserve">or its subcontractor</w:t>
      </w:r>
      <w:r>
        <w:t xml:space="preserve">] and who submits an improper claim for reimbursement under the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533.003(b) and 533.056, Government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533.005, Government Code, as amended by this Act, and Section 533.00513,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533.005, Government Code, as amended by this Act, and Section 533.00513, Government Code, as added by this Act.  To the extent of a conflict between those sections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