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2270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employment policies for certain health care providers employed by medical and dental units.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51.977,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51.977.</w:t>
      </w:r>
      <w:r xml:space="preserve">
        <w:t> </w:t>
      </w:r>
      <w:r xml:space="preserve">
        <w:t> </w:t>
      </w:r>
      <w:r>
        <w:t xml:space="preserve">EMPLOYMENT POLICIES FOR </w:t>
      </w:r>
      <w:r>
        <w:rPr>
          <w:u w:val="single"/>
        </w:rPr>
        <w:t xml:space="preserve">CERTAIN PERSONS EMPLOYED BY</w:t>
      </w:r>
      <w:r>
        <w:t xml:space="preserve"> [</w:t>
      </w:r>
      <w:r>
        <w:rPr>
          <w:strike/>
        </w:rPr>
        <w:t xml:space="preserve">NURSES IN</w:t>
      </w:r>
      <w:r>
        <w:t xml:space="preserve">] MEDICAL AND DENTAL UNITS.  (a)</w:t>
      </w:r>
      <w:r xml:space="preserve">
        <w:t> </w:t>
      </w:r>
      <w:r xml:space="preserve">
        <w:t> </w:t>
      </w:r>
      <w:r>
        <w:t xml:space="preserve">The president of a medical and dental unit, as defined by Section 61.003, shall determine whether a </w:t>
      </w:r>
      <w:r>
        <w:rPr>
          <w:u w:val="single"/>
        </w:rPr>
        <w:t xml:space="preserve">person</w:t>
      </w:r>
      <w:r>
        <w:t xml:space="preserve"> [</w:t>
      </w:r>
      <w:r>
        <w:rPr>
          <w:strike/>
        </w:rPr>
        <w:t xml:space="preserve">nurse</w:t>
      </w:r>
      <w:r>
        <w:t xml:space="preserve">] employed by the unit for patient care or clinical activities is a full-time employee for purposes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employees group benefits under Chapter 1551 or 1601, Insurance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leave under Chapter 661 or 662, Government Code;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longevity pay under Section 659.043,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determination under Subsection (a) does not entitle a </w:t>
      </w:r>
      <w:r>
        <w:rPr>
          <w:u w:val="single"/>
        </w:rPr>
        <w:t xml:space="preserve">person</w:t>
      </w:r>
      <w:r>
        <w:t xml:space="preserve"> [</w:t>
      </w:r>
      <w:r>
        <w:rPr>
          <w:strike/>
        </w:rPr>
        <w:t xml:space="preserve">nurse</w:t>
      </w:r>
      <w:r>
        <w:t xml:space="preserve">] who works less than 40 hours a week to the full state contribution to the cost of any coverage or benefits. </w:t>
      </w:r>
      <w:r>
        <w:t xml:space="preserve"> </w:t>
      </w:r>
      <w:r>
        <w:t xml:space="preserve">However, from money other than money appropriated from the general revenue fund, the employing medical and dental unit may contribute to that cost amounts in excess of the state contribution.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