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86R9472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compensation under the Crime Victims' Compensation Act for certain expenses.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56.42(d),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w:t>
      </w:r>
      <w:r>
        <w:rPr>
          <w:strike/>
        </w:rPr>
        <w:t xml:space="preserve">victim who is a</w:t>
      </w:r>
      <w:r>
        <w:t xml:space="preserve">] victim of stalking, family violence, or trafficking of persons, [</w:t>
      </w:r>
      <w:r>
        <w:rPr>
          <w:strike/>
        </w:rPr>
        <w:t xml:space="preserve">or</w:t>
      </w:r>
      <w:r>
        <w:t xml:space="preserve">] a victim of sexual assault who is assaulted in the victim's place of residence, </w:t>
      </w:r>
      <w:r>
        <w:rPr>
          <w:u w:val="single"/>
        </w:rPr>
        <w:t xml:space="preserve">or a child who is a victim of a murder attempt in the child's place of residence</w:t>
      </w:r>
      <w:r>
        <w:t xml:space="preserve"> may receive a onetime-only assistance payment in an amount not to exceed:</w:t>
      </w:r>
    </w:p>
    <w:p w:rsidR="003F3435" w:rsidRDefault="0032493E">
      <w:pPr>
        <w:spacing w:line="480" w:lineRule="auto"/>
        <w:ind w:firstLine="1440"/>
        <w:jc w:val="both"/>
      </w:pPr>
      <w:r>
        <w:t xml:space="preserve">(1)</w:t>
      </w:r>
      <w:r xml:space="preserve">
        <w:t> </w:t>
      </w:r>
      <w:r xml:space="preserve">
        <w:t> </w:t>
      </w:r>
      <w:r>
        <w:t xml:space="preserve">$2,000 to be used for relocation expenses, including expenses for rental deposit, utility connections, expenses relating to the moving of belongings, motor vehicle mileage expenses, and for out-of-state moves, transportation, lodging, and meals; and</w:t>
      </w:r>
    </w:p>
    <w:p w:rsidR="003F3435" w:rsidRDefault="0032493E">
      <w:pPr>
        <w:spacing w:line="480" w:lineRule="auto"/>
        <w:ind w:firstLine="1440"/>
        <w:jc w:val="both"/>
      </w:pPr>
      <w:r>
        <w:t xml:space="preserve">(2)</w:t>
      </w:r>
      <w:r xml:space="preserve">
        <w:t> </w:t>
      </w:r>
      <w:r xml:space="preserve">
        <w:t> </w:t>
      </w:r>
      <w:r>
        <w:t xml:space="preserve">$1,800 to be used for housing rental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victim of a criminal offense committed on or after the effective date of this Act.  A criminal offense committed before the effective date of this Act is governed by the law in effect on the date the offense was committed, and the former law is continued in effect for that purpose.  For purposes of this section, a criminal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