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86R15263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502.402(a) and (e),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1.5 million that is coterminous with a regional mobility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a population of more than 320,000;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does not border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a port authority is authorized to issue permits for oversize or overweight vehicles under Chapter 623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additional fee shall be collected for a vehicle when other fees imposed under this chapter are collected. The fee revenue collected shall be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sent to a regional mobility authority located in the county to fund long-term transportation projects in the county that are consistent with the purposes specified by Section 7-a, Article VIII, Texas Constitution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there is no regional mobility authority located in the county, used by the county only to fund long-term transportation projects in the county that are consistent with the purposes specified by Section 7-a, Article VIII, Texas Constitution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