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86R7961 CLG-F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criminal offense of financial abuse of an elderly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32, Penal Code, is amended by adding Section 32.55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32.55.</w:t>
      </w:r>
      <w:r>
        <w:rPr>
          <w:u w:val="single"/>
        </w:rPr>
        <w:t xml:space="preserve"> </w:t>
      </w:r>
      <w:r>
        <w:rPr>
          <w:u w:val="single"/>
        </w:rPr>
        <w:t xml:space="preserve"> </w:t>
      </w:r>
      <w:r>
        <w:rPr>
          <w:u w:val="single"/>
        </w:rPr>
        <w:t xml:space="preserve">FINANCIAL ABUSE OF ELDERLY INDIVIDUAL.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"Elderly individual" has the meaning assigned by Section 22.04.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"Financial abuse" means the wrongful taking, appropriation, obtaining, retention, or use of, or assisting in the wrongful taking, appropriation, obtaining, retention, or use of, money or other property of another person by any means, including by exerting undue influence.  The term includes financial exploitation.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exploitation" means the wrongful taking, appropriation, obtaining, retention, or use of money or other property of another person by a person who has a relationship of confidence or trust with the other person.  Financial exploitation may involve coercion, manipulation, threats, intimidation, misrepresentation, or the exerting of undue influence.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breach of a fiduciary relationship, including the misuse of a durable power of attorney or the abuse of guardianship powers, that results in the unauthorized appropriation, sale, or transfer of another person's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unauthorized taking of personal assets;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misappropriation, misuse, or unauthorized transfer of another person's money from a personal or a joint account;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knowing or intentional failure to effectively use another person's income and assets for the necessities required for the person's support and maintenance.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(a)(3), a person has a relationship of confidence or trust with another person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parent, spouse, adult child, or other relative by blood or marriage of the 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joint tenant or tenant in common with the other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legal or fiduciary relationship with the other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financial planner or investment professional who provides services to the other person;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paid or unpaid caregiver of the other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knowingly engages in the financial abuse of an elderly individual.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the value of the property taken, appropriated, obtained, retained, or used is less than $500;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the value of the property taken, appropriated, obtained, retained, or used is $500 or more but less than $10,000;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 the value of the property taken, appropriated, obtained, retained, or used is $10,000 or more but less than $100,000;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first degree if the value of the property taken, appropriated, obtained, retained, or used is $100,000 or more.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subject to prosecution under both this section and another section of this code may be prosecuted under either section or both 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