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2283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convicted of certain offenses to serve as a member of a board of trustees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w:t>
      </w:r>
      <w:r>
        <w:rPr>
          <w:u w:val="single"/>
        </w:rPr>
        <w:t xml:space="preserve">WHO IS</w:t>
      </w:r>
      <w:r>
        <w:t xml:space="preserve"> </w:t>
      </w:r>
      <w:r>
        <w:t xml:space="preserve">CONVICTED OF CERTAIN </w:t>
      </w:r>
      <w:r>
        <w:rPr>
          <w:u w:val="single"/>
        </w:rPr>
        <w:t xml:space="preserve">OFFENSES OR WHO PLEADS GUILTY OR NOLO CONTENDERE TO THOSE OFFENSES</w:t>
      </w:r>
      <w:r>
        <w:t xml:space="preserve"> [</w:t>
      </w:r>
      <w:r>
        <w:rPr>
          <w:strike/>
        </w:rPr>
        <w:t xml:space="preserve">OFFENSE</w:t>
      </w:r>
      <w:r>
        <w:t xml:space="preserve">]. </w:t>
      </w:r>
      <w:r>
        <w:t xml:space="preserve"> </w:t>
      </w:r>
      <w:r>
        <w:t xml:space="preserve">A person is ineligible to serve as a member of the board of trustees of a school district if the person has been convicted of </w:t>
      </w:r>
      <w:r>
        <w:rPr>
          <w:u w:val="single"/>
        </w:rPr>
        <w:t xml:space="preserve">or pleaded guilty or nolo contendere to a felony or</w:t>
      </w:r>
      <w:r>
        <w:t xml:space="preserve"> </w:t>
      </w:r>
      <w:r>
        <w:t xml:space="preserve">an offense under Section 43.02(b),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11.066, Education Code, as amended by this Act, applies only to a member of a board of trustees of a school district who is elected or appointed on or after the effective date of this Act.  A member of a board of trustees of a school district elected or appointed before the effective date of this Act continues to serve for the term to which the member was elected or appointed unless otherwise removed as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