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persons convicted of certain offenses to serve as a member of a board of trustees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CONVICTED OF CERTAIN </w:t>
      </w:r>
      <w:r>
        <w:rPr>
          <w:u w:val="single"/>
        </w:rPr>
        <w:t xml:space="preserve">OFFENSES</w:t>
      </w:r>
      <w:r>
        <w:t xml:space="preserve"> [</w:t>
      </w:r>
      <w:r>
        <w:rPr>
          <w:strike/>
        </w:rPr>
        <w:t xml:space="preserve">OFFENSE</w:t>
      </w:r>
      <w:r>
        <w:t xml:space="preserve">]. </w:t>
      </w:r>
      <w:r>
        <w:t xml:space="preserve"> </w:t>
      </w:r>
      <w:r>
        <w:t xml:space="preserve">A person is ineligible to serve as a member of the board of trustees of a school district if the person has been convicted of </w:t>
      </w:r>
      <w:r>
        <w:rPr>
          <w:u w:val="single"/>
        </w:rPr>
        <w:t xml:space="preserve">a felony or</w:t>
      </w:r>
      <w:r>
        <w:t xml:space="preserve"> </w:t>
      </w:r>
      <w:r>
        <w:t xml:space="preserve">an offense under Section 43.02(b),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11.066, Education Code, as amended by this Act, applies only to a member of a board of trustees of a school district who is elected or appointed on or after the effective date of this Act.  A member of a board of trustees of a school district elected or appointed before the effective date of this Act continues to serve for the term to which the member was elected or appointed unless otherwise removed as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2283 passed the Senate on May</w:t>
      </w:r>
      <w:r xml:space="preserve">
        <w:t> </w:t>
      </w:r>
      <w:r>
        <w:t xml:space="preserve">7,</w:t>
      </w:r>
      <w:r xml:space="preserve">
        <w:t> </w:t>
      </w:r>
      <w:r>
        <w:t xml:space="preserve">2019, by the following vote:  Yeas</w:t>
      </w:r>
      <w:r xml:space="preserve">
        <w:t> </w:t>
      </w:r>
      <w:r>
        <w:t xml:space="preserve">30, Nays</w:t>
      </w:r>
      <w:r xml:space="preserve">
        <w:t> </w:t>
      </w:r>
      <w:r>
        <w:t xml:space="preserve">1; and that the Senate concurred in House amendment on May 25, 2019, by the following vote:  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2283 passed the House, with amendment, on May 22, 2019, by the following vote:  Yeas</w:t>
      </w:r>
      <w:r xml:space="preserve">
        <w:t> </w:t>
      </w:r>
      <w:r>
        <w:t xml:space="preserve">140,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