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Fallon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2285</w:t>
      </w:r>
    </w:p>
    <w:p w:rsidR="003F3435" w:rsidRDefault="0032493E">
      <w:pPr>
        <w:ind w:firstLine="720"/>
        <w:jc w:val="both"/>
      </w:pPr>
      <w:r>
        <w:t xml:space="preserve">(Johnson of Harris)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challenges by school districts and open-enrollment charter schools to accountability determinations.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39.151, Education Code, is amended by amending Subsection (b) and adding Subsections (c-1), (c-2), and (c-3)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rules under Subsection (a) must provide for the commissioner to appoint a committee to make recommendations to the commissioner on a challenge made to an agency decision relating to an academic performance rating or determination or financial accountability rating.  </w:t>
      </w:r>
      <w:r>
        <w:rPr>
          <w:u w:val="single"/>
        </w:rPr>
        <w:t xml:space="preserve">The committee shall review the challenge regardless of the issue identified in the challenge by the school district or open-enrollment charter school.</w:t>
      </w:r>
      <w:r>
        <w:t xml:space="preserve">  The commissioner may not appoint an agency employee as a member of the committee.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not limit a challenge relating to a data or calculation error if the school district or open-enrollment charter school demonstrates in writing that the error was identified before July 1 of the year ratings are released, even if the challenge demonstrates the data or calculation error: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attributable to the school district or open-enrollment charter school;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caused the district or school to have a lower academic or financial accountability rating.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challenge described by Subsection (c-1) demonstrates that a data or calculation error caused the district or open-enrollment charter school to have a lower academic or financial accountability rating, the commissioner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assign the district or school the corrected rating;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indicate that the district or school will not be rated for that school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year in which a school district or open-enrollment charter school is not rated under Subsection (c-2)(2), that school year is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included in calculating consecutive school years under Sections 12.1141(d) and 12.115(c) and Subchapter C, Chapter 39, and Chapter 39A;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considered a break in consecutive school years of unacceptable ratings for purposes of sanctions or interventions under Sections 12.1141(d) and 12.115(c) and Subchapter C, Chapter 39, and Chapter 39A.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