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2293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laws to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12.1058(c),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(a) or (b), an open-enrollment charter school operated by a tax exempt entity as described by Section 12.101(a)(3) is not considered to be a political subdivision, local government, or local governmental entity unless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applicable statute specifically states that the statute applies to an open-enrollment charter school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in this chapter states that a specific statute applies to an open-enrollment charter school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617, Government Code, is amended by adding Section 617.0025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617.0025.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 TO OPEN-ENROLLMENT CHARTER SCHOOL.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open-enrollment charter school established under Subchapter D, Chapter 12, Education Code, is a political subdivision for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governing body of a charter holder, a member of the governing body of an open-enrollment charter school, and an officer of an open-enrollment charter school are considered to be officials of a political subdivision and an employee of an open-enrollment charter school is considered to be a public employee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With respect to Section 617.0025, Government Code, as added by this Act, if an open-enrollment charter school entered into a collective bargaining contract with a labor organization before the effective date of this Act, Chapter 617, Government Code, does not apply during the term of that contract.  A collective bargaining contract entered into before the effective date of this Act may not be renewed.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