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86R12647 CAE-F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laws to open-enrollment charter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12.1058(c),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Subsection (a) or (b), an open-enrollment charter school operated by a tax exempt entity as described by Section 12.101(a)(3) is not considered to be a political subdivision, local government, or local governmental entity unless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applicable statute specifically states that the statute applies to an open-enrollment charter school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in this chapter states that a specific statute applies to an open-enrollment charter school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617, Government Code, is amended by adding Section 617.0025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617.0025.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CHAPTER TO OPEN-ENROLLMENT CHARTER SCHOOL.  (a)  An open-enrollment charter school established under Subchapter D, Chapter 12, Education Code, is  a political subdivision for purposes of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governing body of a charter holder, a member of the governing body of an open-enrollment charter school, and an officer of an open-enrollment charter school are considered to be officials of a political subdivision and an employee of an open-enrollment charter school is considered to be a public employee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With respect to Section 617.0025, Government Code, as added by this Act, if an open-enrollment charter school entered into a collective bargaining contract with a labor organization before the effective date of this Act, Chapter 617, Government Code, does not apply during the term of that contract.  A collective bargaining contract entered into before the effective date of this Act may not be renewed.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