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2294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minimum wage and monthly stipend for municipal and county peace officers;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LOCAL LAW ENFORCEMENT OFFICER STIPEND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local law enforcement officer stipend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law enforcement officer" means a person elected, employed, or appointed as a peace officer under Article 2.12, Code of Criminal Procedure,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sheriff or deputy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constable or deputy constable;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marshal or police officer of a municipality;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rangers, officer, or members of the reserve officer corps commissioned by the Public Safety Commission and the Director of the Department of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LAW ENFORCEMENT OFFICER STIPEND ACCOUNT.  (a)  The law enforcement officer stipend account is an account in the general revenue fund.  The account consists of any money deposited to the credit of the account as provided by general law and any gifts made to this state for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used only for the purpose of providing monthly stipends to local law enforcement officers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STIPEND PROGRAM FOR LAW ENFORCEMENT OFFICERS.  (a)  The comptroller shall establish a program in cooperation with the Public Safety Commission, municipalities, and counties in this state to pay from the law enforcement officer stipend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stipend to each full-time local law enforcement officer in the amount of $1,000;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reduced stipend to each local law enforcement officer who works less than full time in an amount computed by multiplying $1,000 by the fraction of a full-time schedule the officer works.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pay from the account the stipends under this subchapter in a lump sum to the Department of Public Safety to pay the wages or salaries of the officers who are entitled to a stipend.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pay from the account the stipends under this subchapter in a lump sum to the county or municipality that pays the wages or salaries of the local law enforcement officers in that county or municipality who are entitled to a stipend.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requiring a municipality or county to report to the comptroller information regarding the number, identities, and employment schedules of local law enforcement officers entitled to stipends under this subchapter and to report information related to the stipend payments made to local law enforcement officers.  The comptroller shall adopt and employ controls sufficient to ensure that money paid to a county or municipality under this subchapter is used solely to pay the intended stipends.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62, Labor Code, is amended by adding Section 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62.058.</w:t>
      </w:r>
      <w:r>
        <w:rPr>
          <w:u w:val="single"/>
        </w:rPr>
        <w:t xml:space="preserve"> </w:t>
      </w:r>
      <w:r>
        <w:rPr>
          <w:u w:val="single"/>
        </w:rPr>
        <w:t xml:space="preserve"> </w:t>
      </w:r>
      <w:r>
        <w:rPr>
          <w:u w:val="single"/>
        </w:rPr>
        <w:t xml:space="preserve">MINIMUM WAGE FOR CERTAIN LAW ENFORCEMENT OFFICERS.  (a)  In this section, "local law enforcement officer" has the meaning assigned by Section 403.501,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62.051 or 62.151 or any other law, a municipality or county shall pay to each local law enforcement officer employed by the municipality or county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exempt a municipality or county from paying the minimum wage required by Subsection (b) if the municipality or county demonstrates that paying the minimum wage would result in economic hardship for the municipality or county,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develop criteria to qualify for an exemption under Subsection (c).  The commission shall periodically review a municipality or county that receives an exemption under Subsection (c) to determine if the municipality or county continues to qualify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a general appropriations act of the 86th Legislature, Regular Session, 2019, that becomes law, for the state fiscal biennium beginning September 1, 2019, the balance of the local law enforcement officer stipend account created by this Act is appropriated to the comptroller of public accounts for the purpose of paying stipends to local law enforcement officers under Subchapter R, Chapter 403, Government Code, as added by this Act, and to transfer any excess money from that account to the general revenue fund as provided by that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