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definition of a common paymaster.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201.011(11), Labor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"Employing unit"</w:t>
      </w:r>
      <w:r>
        <w:t xml:space="preserve"> </w:t>
      </w:r>
      <w:r>
        <w:t xml:space="preserve">means a person who, after January 1, 1936, has employed an individual to perform services for the person in this state. </w:t>
      </w:r>
      <w:r>
        <w:t xml:space="preserve"> </w:t>
      </w:r>
      <w:r>
        <w:rPr>
          <w:u w:val="single"/>
        </w:rPr>
        <w:t xml:space="preserve">Effective January 1, 2020, this definition includes a common paymaster, as defined in 26 U.S.C. Section 3306(p).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the inclusion of common paymaster.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inclusion of common paymaster to the definition of "employing unit"</w:t>
      </w:r>
      <w:r>
        <w:rPr>
          <w:u w:val="single"/>
        </w:rPr>
        <w:t xml:space="preserve"> </w:t>
      </w:r>
      <w:r>
        <w:rPr>
          <w:u w:val="single"/>
        </w:rPr>
        <w:t xml:space="preserve">shall not negate a person's obligations with respect to acquisitions of experience-rated employers and transfers of compensation experience pursuant to Subchapter E, Chapter 204.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