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2299</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423.0045(a)(1-a), Government Code, is reenacted to conform to the changes made to Section 423.0045(a)(1), Government Code, by Chapter 824 (H.B. 1643), Acts of the 85th Legislature, Regular Session, 2017, and is further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