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to establish a multiple employer welfare arrangement.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846.053, Insurance Code, is amended by amending Subsections (b) and (c) and adding Subsections (c-1) and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r>
        <w:rPr>
          <w:strike/>
        </w:rPr>
        <w:t xml:space="preserve">:</w:t>
      </w:r>
    </w:p>
    <w:p w:rsidR="003F3435" w:rsidRDefault="0032493E">
      <w:pPr>
        <w:spacing w:line="480" w:lineRule="auto"/>
        <w:ind w:firstLine="1440"/>
        <w:jc w:val="both"/>
      </w:pPr>
      <w:r>
        <w:t xml:space="preserve">[</w:t>
      </w:r>
      <w:r>
        <w:rPr>
          <w:strike/>
        </w:rPr>
        <w:t xml:space="preserve">(1)</w:t>
      </w:r>
      <w:r>
        <w:t xml:space="preserve">] be engaged in substantial activity for its members other than sponsorship of an employee welfare benefit plan[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been in existence for at least two years before engaging in any activities relating to providing employee health benefits to its members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determine whether a multiple employer welfare arrangement is considered a large employer, participating employees are counted in the aggregate at the level of the multiple employer welfare arrangement.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working owner of a trade or business without employees may qualify both as an employer and as an employee of the trade or industry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846.053, Insurance Code, as amended by this Act, applies only to an application for a certificate of authority as a multiple employer welfare arrangement submitted on or after January 1, 2020. </w:t>
      </w:r>
      <w:r>
        <w:t xml:space="preserve"> </w:t>
      </w:r>
      <w:r>
        <w:t xml:space="preserve">An application submitted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