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86R2017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use an alternate work period for county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157.021, Local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limit the authority of the commissioners court of a county to adopt or enforce a work period of up to 28 days for peace officers employed by the county in accordance with the federal Fair Labor Standards Act of 1938 (29 U.S.C. Section 207).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157.022, Local Government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peace officer commissioned by a county that has adopted a work period of longer than seven days for those peace officers in accordance with the federal Fair Labor Standards Act of 1938 (29 U.S.C. Section 207).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