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2318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require a person to obtain a building permit from the county for certain portable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233, Local Government Code, is amended by adding Section 233.902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233.902.</w:t>
      </w:r>
      <w:r>
        <w:rPr>
          <w:u w:val="single"/>
        </w:rPr>
        <w:t xml:space="preserve"> </w:t>
      </w:r>
      <w:r>
        <w:rPr>
          <w:u w:val="single"/>
        </w:rPr>
        <w:t xml:space="preserve"> </w:t>
      </w:r>
      <w:r>
        <w:rPr>
          <w:u w:val="single"/>
        </w:rPr>
        <w:t xml:space="preserve">PORTABLE STRUCTURE FOR SALE OF SEASONAL GOODS.  Notwithstanding any other law, a county may not require a building permit to construct, improve, or occupy a structure used for not more than 60 days in a calendar year for the retail sale of goods if the structure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portable;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smaller than 500 square feet.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