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86R11582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county commissioners who hold a license to carry a handgun to carry the handgun on the premises of a government court or an office utilized by a court and the form of the handgun licenses issued to county commissioners.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411.179(c),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adopting the form of the license under Subsection (a), the department shall establish a procedure for the license of a qualified handgun instructor or of the attorney general or a judge, justice, United States attorney, assistant United States attorney, assistant attorney general, prosecuting attorney, [</w:t>
      </w:r>
      <w:r>
        <w:rPr>
          <w:strike/>
        </w:rPr>
        <w:t xml:space="preserve">or</w:t>
      </w:r>
      <w:r>
        <w:t xml:space="preserve">] assistant prosecuting attorney, </w:t>
      </w:r>
      <w:r>
        <w:rPr>
          <w:u w:val="single"/>
        </w:rPr>
        <w:t xml:space="preserve">or county commissioner,</w:t>
      </w:r>
      <w:r>
        <w:t xml:space="preserve"> as described by Section 46.15(a)(4), (6), or (7) </w:t>
      </w:r>
      <w:r>
        <w:rPr>
          <w:u w:val="single"/>
        </w:rPr>
        <w:t xml:space="preserve">or (h)</w:t>
      </w:r>
      <w:r>
        <w:t xml:space="preserve">, Penal Code, to indicate on the license the license holder's status as a qualified handgun instructor or as the attorney general or a judge, justice, United States attorney, assistant United States attorney, assistant attorney general, district attorney, criminal district attorney, [</w:t>
      </w:r>
      <w:r>
        <w:rPr>
          <w:strike/>
        </w:rPr>
        <w:t xml:space="preserve">or</w:t>
      </w:r>
      <w:r>
        <w:t xml:space="preserve">] county attorney</w:t>
      </w:r>
      <w:r>
        <w:rPr>
          <w:u w:val="single"/>
        </w:rPr>
        <w:t xml:space="preserve">, or county commissioner</w:t>
      </w:r>
      <w:r>
        <w:t xml:space="preserve">.  In establishing the procedure, the department shall require sufficient documentary evidence to establish the license holder's status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Section 46.03(a)(3) does not apply to a county commissioner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carries a handgun;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licensed to carry the handgun under Subchapter H, Chapter 411,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411.179(c), Government Code, as amended by this Act, applies only to an applicant for an original, duplicate, modified, or renewed license to carry a handgun under Subchapter H, Chapter 411, Government Code, as amended by this Act, who submits the application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46.15,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