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86R15015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of the best practices of river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The Texas Water Development Board shall conduct a study of the best practices of river authorities. The study must address at least an authority's: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pre-release policies;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gauging;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alert systems.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2020, the Texas Water Development Board shall submit to the governor, the lieutenant governor, and the speaker of the house of representatives a report on the findings of the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This section expires January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