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86R6311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reporting to the legislature by certain river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5, Water Code, is amended by designating Chapter 152 as Subtitle A and adding a subtitle heading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SUBTITLE A.  RIVER AUTHORITIES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5, Water Code, as added by this Act, is amended by adding Chapter 150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150.  PROVISIONS GENERALLY APPLICABLE TO RIVER AUTHORITIES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150.0101.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"Committee" means the standing committee of the senate with jurisdiction over water.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"River authority" means a district created under the authority of Section 59, Article XVI, Texas Constitution, as a regional water management entity to provide water development and planning services and other services to a river basin or portion of a river basin.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150.0102.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REPORT.  (a) </w:t>
      </w:r>
      <w:r>
        <w:rPr>
          <w:u w:val="single"/>
        </w:rPr>
        <w:t xml:space="preserve"> </w:t>
      </w:r>
      <w:r>
        <w:rPr>
          <w:u w:val="single"/>
        </w:rPr>
        <w:t xml:space="preserve">In November of the sixth year after the year in which the Sunset Advisory Commission completed a review of a river authority, the river authority shall deliver a report to the committee that explains changes to the river authority's rules made since the review by the Sunset Advisory Commission and the consequences of those changes.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committee may compel testimony by a representative of the river authority regarding the subject of the report in the same way the committee may compel testimony from a representative of a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