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2332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2019, read first time and referred to Committee on Water &amp; Rural Affairs;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2332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reporting to the legislature by certain river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5, Water Code, is amended by designating Chapter 152 as Subtitle A and adding a subtitle heading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SUBTITLE A. RIVER AUTHORITIES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5, Water Code, as added by this Act, is amended by adding Chapter 150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150. PROVISIONS GENERALLY APPLICABLE TO RIVER AUTHORITIES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150.0101.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"Committee" means the standing committee of the senate with jurisdiction over water resources.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"River authority" means the San Antonio River Authority or a district: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created by the legislature under the authority of Section 59, Article XVI, Texas Constitution, as a regional water management entity to provide water development and planning services and other services to a river basin or portion of a river basin;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containing one or more counties within its boundaries;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governed by a board of directors appointed or designated wholly or partly by the governor.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150.0102.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REPORT.  (a) In November of the sixth year after the year in which the Sunset Advisory Commission completed a review of a river authority, the river authority shall deliver a report to the committee that explains changes to the river authority's rules made since the review by the Sunset Advisory Commission and the consequences of those changes.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committee may compel testimony by a representative of the river authority regarding the subject of the report in the same way the committee may compel testimony from a representative of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2332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