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 Government Code, is amended by amending Subsection (h) and adding Subsection (h-1)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 </w:t>
      </w:r>
      <w:r>
        <w:t xml:space="preserve"> </w:t>
      </w:r>
      <w:r>
        <w:t xml:space="preserve">The rules shall apply to civil actions in district courts, county courts at law, and statutory probate courts in which the amount in controversy, inclusive of all claims for damages of any kind, whether actual or exemplary, a penalty, attorney's fees, expenses, costs, interest, or any other type of damage of any kind, does not exceed $100,000. </w:t>
      </w:r>
      <w:r>
        <w:t xml:space="preserve"> </w:t>
      </w:r>
      <w:r>
        <w:t xml:space="preserve">The rules shall address the need for lowering discovery costs in these actions and the procedure for ensuring that these actions will be expedited in the civil justice system. </w:t>
      </w:r>
      <w:r>
        <w:t xml:space="preserve">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addition to the rules adopted under Subsection (h), the supreme court shall adopt rules to promote the prompt, efficient, and cost-effective resolution of civil actions filed in county courts at law in which the amount in controversy does not exceed $250,000.  The rules shall balance the need for lowering discovery costs in these actions against the complexity of and discovery needs in these actions.  The supreme court may not adopt rules under this subsection that conflict with other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exceeds $250,000,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w:t>
      </w:r>
      <w:r>
        <w:rPr>
          <w:u w:val="single"/>
        </w:rPr>
        <w:t xml:space="preserve"> </w:t>
      </w:r>
      <w:r>
        <w:rPr>
          <w:u w:val="single"/>
        </w:rPr>
        <w:t xml:space="preserve">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2021, the Supreme Court of Texas shall adopt rules as necessary to implement Section 22.004(h-1), Government Code, as added by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2020.</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2342 passed the Senate on April</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28, Nays</w:t>
      </w:r>
      <w:r xml:space="preserve">
        <w:t> </w:t>
      </w:r>
      <w:r>
        <w:t xml:space="preserve">3;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2342 passed the House, with amendments,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124, Nays</w:t>
      </w:r>
      <w:r xml:space="preserve">
        <w:t> </w:t>
      </w:r>
      <w:r>
        <w:t xml:space="preserve">22, one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91, Nays</w:t>
      </w:r>
      <w:r xml:space="preserve">
        <w:t> </w:t>
      </w:r>
      <w:r>
        <w:t xml:space="preserve">48,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