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2343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8,</w:t>
      </w:r>
      <w:r xml:space="preserve">
        <w:t> </w:t>
      </w:r>
      <w:r>
        <w:t xml:space="preserve">2019; March</w:t>
      </w:r>
      <w:r xml:space="preserve">
        <w:t> </w:t>
      </w:r>
      <w:r>
        <w:t xml:space="preserve">21,</w:t>
      </w:r>
      <w:r xml:space="preserve">
        <w:t> </w:t>
      </w:r>
      <w:r>
        <w:t xml:space="preserve">2019, read first time and referred to Committee on Higher Education;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Buckingham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Powell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Watson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courses offered jointly by certain public junior colleges and independent school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130.008, Education Code, is amended by amending Subsection (g-1) and adding Subsection (g-2)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(g-1)</w:t>
      </w:r>
      <w:r xml:space="preserve">
        <w:t> </w:t>
      </w:r>
      <w:r xml:space="preserve">
        <w:t> </w:t>
      </w:r>
      <w:r>
        <w:t xml:space="preserve">A public junior college </w:t>
      </w:r>
      <w:r>
        <w:rPr>
          <w:u w:val="single"/>
        </w:rPr>
        <w:t xml:space="preserve">to which this subsection applies</w:t>
      </w:r>
      <w:r>
        <w:t xml:space="preserve"> </w:t>
      </w:r>
      <w:r>
        <w:t xml:space="preserve">[</w:t>
      </w:r>
      <w:r>
        <w:rPr>
          <w:strike/>
        </w:rPr>
        <w:t xml:space="preserve">with a service area located wholly or partly in a county with a population of more than three million</w:t>
      </w:r>
      <w:r>
        <w:t xml:space="preserve">] shall enter into an agreement with each school district located wholly or partly in a county </w:t>
      </w:r>
      <w:r>
        <w:rPr>
          <w:u w:val="single"/>
        </w:rPr>
        <w:t xml:space="preserve">in which the junior college district's service area is wholly or partly located</w:t>
      </w:r>
      <w:r>
        <w:t xml:space="preserve"> </w:t>
      </w:r>
      <w:r>
        <w:t xml:space="preserve">[</w:t>
      </w:r>
      <w:r>
        <w:rPr>
          <w:strike/>
        </w:rPr>
        <w:t xml:space="preserve">with a population of more than three million</w:t>
      </w:r>
      <w:r>
        <w:t xml:space="preserve">] to offer one or more courses as provided by this section. </w:t>
      </w:r>
      <w:r>
        <w:t xml:space="preserve"> </w:t>
      </w:r>
      <w:r>
        <w:t xml:space="preserve">A student enrolled in a school district to which this subsection applies may enroll in a course at any junior college that has entered into an agreement with the district to offer the course under this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(g-2)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(g-1) applies only to a public junior college in: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Blinn College District;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Houston Community College System District;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Lee College District;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Lone Star College System District;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San Jacinto College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2343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