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property is used exclusively by the school for educational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real property is reasonably necessary for the operation of the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certifies by affidavit to the school that the rent for the lease of the real property will be reduced by an amount equal to the amount by which the taxes on the property are reduced as a result of the exemption;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owner provides the school with a disclosure document stating the amount by which the taxes on the real property are reduced as a result of the exemption and the method the owner will implement to ensure that the rent charged for the lease of the property fully reflects that reduction;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rent charged for the lease of the real property reflects the reduction in the amount of taxes on the property resulting from the exemption through a monthly or annual credit against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 does not apply to a leasehold interest in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real property leased to certain schools organized and operated primarily for the purpose of engaging in educational functions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