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86R6966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discrimination by a health care provider based on immunization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531.0333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531.0333.</w:t>
      </w:r>
      <w:r>
        <w:rPr>
          <w:u w:val="single"/>
        </w:rPr>
        <w:t xml:space="preserve"> </w:t>
      </w:r>
      <w:r>
        <w:rPr>
          <w:u w:val="single"/>
        </w:rPr>
        <w:t xml:space="preserve"> </w:t>
      </w:r>
      <w:r>
        <w:rPr>
          <w:u w:val="single"/>
        </w:rPr>
        <w:t xml:space="preserve">DISCRIMINATION BY HEALTH CARE PROVIDER BASED ON IMMUNIZATION STATUS.  (a) </w:t>
      </w:r>
      <w:r>
        <w:rPr>
          <w:u w:val="single"/>
        </w:rPr>
        <w:t xml:space="preserve"> </w:t>
      </w:r>
      <w:r>
        <w:rPr>
          <w:u w:val="single"/>
        </w:rPr>
        <w:t xml:space="preserve">A health care provider may not refuse to provide health care services to a patient solely because a patient has or has not received immunization for a particular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that violates this section is not eligible to receive money from the state for services provided to patients, including under the medical assistance program under Chapter 32, Human Resources Code, or under the child health plan program under Chapter 62,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